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9B6" w:rsidP="002E20F6" w:rsidRDefault="009539B6" w14:paraId="188A9D66" w14:textId="7DFB57F3">
      <w:pPr>
        <w:widowControl/>
        <w:adjustRightInd w:val="0"/>
        <w:jc w:val="both"/>
        <w:rPr>
          <w:rFonts w:eastAsiaTheme="minorHAnsi"/>
          <w:i/>
          <w:iCs/>
          <w:sz w:val="20"/>
          <w:szCs w:val="20"/>
        </w:rPr>
      </w:pPr>
      <w:r w:rsidRPr="009539B6">
        <w:rPr>
          <w:rFonts w:eastAsiaTheme="minorHAnsi"/>
          <w:i/>
          <w:iCs/>
          <w:sz w:val="20"/>
          <w:szCs w:val="20"/>
        </w:rPr>
        <w:t xml:space="preserve">These securities have not been registered under the United States Securities Act of 1933, as amended (the “U.S. Securities Act”), or any of the securities laws of any state of the United States, and may not be offered or sold within the United States or for the account or benefit of U.S. persons or persons in the United States except pursuant to an exemption from the registration requirements of the U.S. Securities Act and applicable U.S. state securities laws. This </w:t>
      </w:r>
      <w:r w:rsidR="00E83A1A">
        <w:rPr>
          <w:rFonts w:eastAsiaTheme="minorHAnsi"/>
          <w:i/>
          <w:iCs/>
          <w:sz w:val="20"/>
          <w:szCs w:val="20"/>
        </w:rPr>
        <w:t>o</w:t>
      </w:r>
      <w:r w:rsidRPr="009539B6">
        <w:rPr>
          <w:rFonts w:eastAsiaTheme="minorHAnsi"/>
          <w:i/>
          <w:iCs/>
          <w:sz w:val="20"/>
          <w:szCs w:val="20"/>
        </w:rPr>
        <w:t>ffering document does not constitute an offer to sell, or the solicitation of an offer to buy, any of these securities within the United States or to, or for the account or benefit of, U.S. persons or persons in the United States. “United States” and “U.S. person” have the meanings ascribed to them in Regulation S under the U.S. Securities Act.</w:t>
      </w:r>
    </w:p>
    <w:p w:rsidRPr="009539B6" w:rsidR="009539B6" w:rsidP="003C5389" w:rsidRDefault="009539B6" w14:paraId="5A5DB979" w14:textId="77777777">
      <w:pPr>
        <w:pStyle w:val="Heading1"/>
        <w:numPr>
          <w:ilvl w:val="0"/>
          <w:numId w:val="0"/>
        </w:numPr>
        <w:spacing w:before="120"/>
        <w:jc w:val="center"/>
        <w:rPr>
          <w:rFonts w:cs="Times New Roman"/>
          <w:b/>
          <w:bCs w:val="0"/>
        </w:rPr>
      </w:pPr>
      <w:bookmarkStart w:name="_cp_change_51" w:id="0"/>
      <w:bookmarkEnd w:id="0"/>
      <w:r w:rsidRPr="009539B6">
        <w:rPr>
          <w:rFonts w:cs="Times New Roman"/>
          <w:b/>
          <w:bCs w:val="0"/>
          <w:szCs w:val="22"/>
        </w:rPr>
        <w:t>OFFERING DOCUMENT UNDER THE LISTED ISSUER FINANCING EXEMPTION</w:t>
      </w:r>
    </w:p>
    <w:p w:rsidRPr="009539B6" w:rsidR="009539B6" w:rsidP="008B6643" w:rsidRDefault="009539B6" w14:paraId="58A137B0" w14:textId="77777777">
      <w:pPr>
        <w:pStyle w:val="BodyText"/>
        <w:spacing w:before="120"/>
        <w:rPr>
          <w:bCs/>
          <w:sz w:val="10"/>
          <w:szCs w:val="10"/>
        </w:rPr>
      </w:pPr>
    </w:p>
    <w:p w:rsidR="009539B6" w:rsidP="000605D4" w:rsidRDefault="000605D4" w14:paraId="3BE247E2" w14:textId="696A39D5">
      <w:pPr>
        <w:jc w:val="right"/>
        <w:rPr>
          <w:bCs/>
        </w:rPr>
      </w:pPr>
      <w:r>
        <w:rPr>
          <w:bCs/>
        </w:rPr>
        <w:t>December</w:t>
      </w:r>
      <w:r w:rsidR="00837737">
        <w:rPr>
          <w:bCs/>
        </w:rPr>
        <w:t xml:space="preserve"> </w:t>
      </w:r>
      <w:r w:rsidR="00226EF8">
        <w:rPr>
          <w:bCs/>
        </w:rPr>
        <w:t>10</w:t>
      </w:r>
      <w:r w:rsidRPr="00A46110" w:rsidR="009539B6">
        <w:rPr>
          <w:bCs/>
        </w:rPr>
        <w:t>,</w:t>
      </w:r>
      <w:r w:rsidRPr="009539B6" w:rsidR="009539B6">
        <w:rPr>
          <w:bCs/>
        </w:rPr>
        <w:t xml:space="preserve"> 202</w:t>
      </w:r>
      <w:r w:rsidR="001409E1">
        <w:rPr>
          <w:bCs/>
        </w:rPr>
        <w:t>5</w:t>
      </w:r>
    </w:p>
    <w:p w:rsidRPr="009539B6" w:rsidR="000605D4" w:rsidP="00245FF3" w:rsidRDefault="000605D4" w14:paraId="329AB7BC" w14:textId="77777777">
      <w:pPr>
        <w:jc w:val="right"/>
      </w:pPr>
    </w:p>
    <w:p w:rsidRPr="009539B6" w:rsidR="009539B6" w:rsidP="002E20F6" w:rsidRDefault="001149F1" w14:paraId="72EC86FC" w14:textId="02AD5D2C">
      <w:pPr>
        <w:spacing w:line="228" w:lineRule="exact"/>
        <w:jc w:val="center"/>
        <w:rPr>
          <w:b/>
        </w:rPr>
      </w:pPr>
      <w:r>
        <w:rPr>
          <w:b/>
        </w:rPr>
        <w:t>BLAST RESOURCES INC.</w:t>
      </w:r>
    </w:p>
    <w:p w:rsidRPr="00370525" w:rsidR="00000DF4" w:rsidP="00370525" w:rsidRDefault="009539B6" w14:paraId="222E085F" w14:textId="640EF70A">
      <w:pPr>
        <w:spacing w:line="228" w:lineRule="exact"/>
        <w:jc w:val="center"/>
      </w:pPr>
      <w:r w:rsidRPr="009539B6">
        <w:t>(the “</w:t>
      </w:r>
      <w:r w:rsidRPr="009539B6">
        <w:rPr>
          <w:b/>
        </w:rPr>
        <w:t>Company</w:t>
      </w:r>
      <w:r w:rsidRPr="009539B6">
        <w:t>” or “</w:t>
      </w:r>
      <w:r w:rsidR="001149F1">
        <w:rPr>
          <w:b/>
        </w:rPr>
        <w:t>Blast</w:t>
      </w:r>
      <w:r w:rsidRPr="009539B6">
        <w:t>”)</w:t>
      </w:r>
      <w:r w:rsidR="00370525">
        <w:rPr>
          <w:noProof/>
        </w:rPr>
        <w:drawing>
          <wp:anchor distT="0" distB="0" distL="114300" distR="114300" simplePos="0" relativeHeight="251663360" behindDoc="0" locked="0" layoutInCell="1" allowOverlap="1" wp14:editId="2D282A47" wp14:anchorId="50D6B483">
            <wp:simplePos x="0" y="0"/>
            <wp:positionH relativeFrom="margin">
              <wp:align>center</wp:align>
            </wp:positionH>
            <wp:positionV relativeFrom="paragraph">
              <wp:posOffset>164465</wp:posOffset>
            </wp:positionV>
            <wp:extent cx="1589314" cy="1116361"/>
            <wp:effectExtent l="0" t="0" r="0" b="0"/>
            <wp:wrapSquare wrapText="bothSides"/>
            <wp:docPr id="586830779" name="Picture 58683077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astresources.com/wp-content/uploads/2023/09/Logo_Horizontal-1080_758-Blue-1-1024x71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9314" cy="1116361"/>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06130" w:rsidR="00370525" w:rsidP="00000DF4" w:rsidRDefault="00370525" w14:paraId="457F1F45" w14:textId="77777777">
      <w:pPr>
        <w:pStyle w:val="BodyText"/>
        <w:spacing w:before="0"/>
        <w:rPr>
          <w:b/>
          <w:bCs/>
          <w:sz w:val="16"/>
          <w:szCs w:val="16"/>
        </w:rPr>
      </w:pPr>
    </w:p>
    <w:p w:rsidRPr="00006130" w:rsidR="00370525" w:rsidP="00000DF4" w:rsidRDefault="00370525" w14:paraId="6ECA8452" w14:textId="77777777">
      <w:pPr>
        <w:pStyle w:val="BodyText"/>
        <w:spacing w:before="0"/>
        <w:rPr>
          <w:b/>
          <w:bCs/>
          <w:sz w:val="20"/>
          <w:szCs w:val="20"/>
        </w:rPr>
      </w:pPr>
    </w:p>
    <w:p w:rsidR="00370525" w:rsidP="00000DF4" w:rsidRDefault="00370525" w14:paraId="3151E393" w14:textId="77777777">
      <w:pPr>
        <w:pStyle w:val="BodyText"/>
        <w:spacing w:before="0"/>
        <w:rPr>
          <w:b/>
          <w:bCs/>
        </w:rPr>
      </w:pPr>
    </w:p>
    <w:p w:rsidR="00370525" w:rsidP="00000DF4" w:rsidRDefault="00370525" w14:paraId="2E43BD1F" w14:textId="77777777">
      <w:pPr>
        <w:pStyle w:val="BodyText"/>
        <w:spacing w:before="0"/>
        <w:rPr>
          <w:b/>
          <w:bCs/>
        </w:rPr>
      </w:pPr>
    </w:p>
    <w:p w:rsidR="00370525" w:rsidP="00000DF4" w:rsidRDefault="00370525" w14:paraId="5E8BC6D2" w14:textId="77777777">
      <w:pPr>
        <w:pStyle w:val="BodyText"/>
        <w:spacing w:before="0"/>
        <w:rPr>
          <w:b/>
          <w:bCs/>
        </w:rPr>
      </w:pPr>
    </w:p>
    <w:p w:rsidR="00370525" w:rsidP="00000DF4" w:rsidRDefault="00370525" w14:paraId="351605BB" w14:textId="77777777">
      <w:pPr>
        <w:pStyle w:val="BodyText"/>
        <w:spacing w:before="0"/>
        <w:rPr>
          <w:b/>
          <w:bCs/>
        </w:rPr>
      </w:pPr>
    </w:p>
    <w:p w:rsidRPr="00006130" w:rsidR="00370525" w:rsidP="00000DF4" w:rsidRDefault="00370525" w14:paraId="14F3D523" w14:textId="77777777">
      <w:pPr>
        <w:pStyle w:val="BodyText"/>
        <w:spacing w:before="0"/>
        <w:rPr>
          <w:b/>
          <w:bCs/>
          <w:sz w:val="16"/>
          <w:szCs w:val="16"/>
        </w:rPr>
      </w:pPr>
    </w:p>
    <w:p w:rsidRPr="003C5389" w:rsidR="00370525" w:rsidP="00000DF4" w:rsidRDefault="00370525" w14:paraId="7F2F59D6" w14:textId="77777777">
      <w:pPr>
        <w:pStyle w:val="BodyText"/>
        <w:spacing w:before="0"/>
        <w:rPr>
          <w:b/>
          <w:bCs/>
          <w:sz w:val="16"/>
          <w:szCs w:val="16"/>
        </w:rPr>
      </w:pPr>
    </w:p>
    <w:p w:rsidRPr="00422514" w:rsidR="009539B6" w:rsidP="00000DF4" w:rsidRDefault="009539B6" w14:paraId="45D3FD55" w14:textId="6944604D">
      <w:pPr>
        <w:pStyle w:val="BodyText"/>
        <w:spacing w:before="0"/>
        <w:rPr>
          <w:b/>
          <w:bCs/>
        </w:rPr>
      </w:pPr>
      <w:r w:rsidRPr="00422514">
        <w:rPr>
          <w:b/>
          <w:bCs/>
        </w:rPr>
        <w:t>PART 1</w:t>
      </w:r>
      <w:r w:rsidRPr="00422514">
        <w:rPr>
          <w:b/>
          <w:bCs/>
        </w:rPr>
        <w:tab/>
        <w:t>SUMMARY OF OFFERING</w:t>
      </w:r>
    </w:p>
    <w:p w:rsidRPr="00006130" w:rsidR="009539B6" w:rsidP="002E20F6" w:rsidRDefault="009539B6" w14:paraId="70AA7A3F" w14:textId="77777777">
      <w:pPr>
        <w:jc w:val="both"/>
        <w:rPr>
          <w:b/>
          <w:i/>
          <w:sz w:val="16"/>
          <w:szCs w:val="16"/>
        </w:rPr>
      </w:pPr>
    </w:p>
    <w:p w:rsidRPr="009539B6" w:rsidR="009539B6" w:rsidP="002E20F6" w:rsidRDefault="009539B6" w14:paraId="5720B0F5" w14:textId="77777777">
      <w:pPr>
        <w:jc w:val="both"/>
        <w:rPr>
          <w:b/>
          <w:iCs/>
        </w:rPr>
      </w:pPr>
      <w:r w:rsidRPr="009539B6">
        <w:rPr>
          <w:b/>
          <w:iCs/>
        </w:rPr>
        <w:t>What are we offering?</w:t>
      </w:r>
    </w:p>
    <w:p w:rsidRPr="00006130" w:rsidR="009539B6" w:rsidP="00000DF4" w:rsidRDefault="009539B6" w14:paraId="1C317A67" w14:textId="77777777">
      <w:pPr>
        <w:pStyle w:val="BodyText"/>
        <w:spacing w:before="0"/>
        <w:rPr>
          <w:b/>
          <w:i/>
          <w:sz w:val="20"/>
          <w:szCs w:val="20"/>
        </w:rPr>
      </w:pPr>
    </w:p>
    <w:tbl>
      <w:tblPr>
        <w:tblW w:w="9372"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001"/>
        <w:gridCol w:w="7371"/>
      </w:tblGrid>
      <w:tr w:rsidRPr="009539B6" w:rsidR="009539B6" w:rsidTr="003C5389" w14:paraId="46328E62" w14:textId="77777777">
        <w:trPr>
          <w:trHeight w:val="802"/>
        </w:trPr>
        <w:tc>
          <w:tcPr>
            <w:tcW w:w="2001" w:type="dxa"/>
            <w:shd w:val="clear" w:color="auto" w:fill="F2F2F2" w:themeFill="background1" w:themeFillShade="F2"/>
          </w:tcPr>
          <w:p w:rsidR="009539B6" w:rsidP="00E97659" w:rsidRDefault="009539B6" w14:paraId="7432DC88" w14:textId="77777777">
            <w:pPr>
              <w:pStyle w:val="TableParagraph"/>
              <w:spacing w:before="120" w:after="120" w:line="204" w:lineRule="exact"/>
              <w:ind w:left="113"/>
              <w:rPr>
                <w:b/>
              </w:rPr>
            </w:pPr>
            <w:r w:rsidRPr="009539B6">
              <w:rPr>
                <w:b/>
              </w:rPr>
              <w:t>Securities Offered:</w:t>
            </w:r>
          </w:p>
          <w:p w:rsidRPr="009539B6" w:rsidR="00006130" w:rsidP="00E97659" w:rsidRDefault="00006130" w14:paraId="31317B44" w14:textId="77777777">
            <w:pPr>
              <w:pStyle w:val="TableParagraph"/>
              <w:spacing w:before="120" w:after="120" w:line="204" w:lineRule="exact"/>
              <w:ind w:left="113"/>
              <w:rPr>
                <w:b/>
              </w:rPr>
            </w:pPr>
          </w:p>
        </w:tc>
        <w:tc>
          <w:tcPr>
            <w:tcW w:w="7371" w:type="dxa"/>
          </w:tcPr>
          <w:p w:rsidRPr="009400A5" w:rsidR="009400A5" w:rsidP="008C033A" w:rsidRDefault="005F144C" w14:paraId="52529BDF" w14:textId="2810A4B0">
            <w:pPr>
              <w:pStyle w:val="TableParagraph"/>
              <w:spacing w:before="120" w:after="120"/>
              <w:ind w:left="113" w:right="113"/>
              <w:jc w:val="both"/>
              <w:rPr>
                <w:kern w:val="52"/>
              </w:rPr>
            </w:pPr>
            <w:r>
              <w:rPr>
                <w:kern w:val="52"/>
              </w:rPr>
              <w:t>A minimum of</w:t>
            </w:r>
            <w:r w:rsidR="003045BA">
              <w:rPr>
                <w:kern w:val="52"/>
              </w:rPr>
              <w:t xml:space="preserve"> 800,000</w:t>
            </w:r>
            <w:r>
              <w:rPr>
                <w:kern w:val="52"/>
              </w:rPr>
              <w:t xml:space="preserve"> units of the Company</w:t>
            </w:r>
            <w:r w:rsidR="009400A5">
              <w:rPr>
                <w:kern w:val="52"/>
              </w:rPr>
              <w:t xml:space="preserve"> (each, a “</w:t>
            </w:r>
            <w:r w:rsidRPr="00E3608B" w:rsidR="009400A5">
              <w:rPr>
                <w:b/>
                <w:bCs/>
                <w:kern w:val="52"/>
              </w:rPr>
              <w:t>Unit</w:t>
            </w:r>
            <w:r w:rsidR="009400A5">
              <w:rPr>
                <w:kern w:val="52"/>
              </w:rPr>
              <w:t xml:space="preserve">”) for gross proceeds of </w:t>
            </w:r>
            <w:r>
              <w:rPr>
                <w:kern w:val="52"/>
              </w:rPr>
              <w:t>$</w:t>
            </w:r>
            <w:r w:rsidR="003045BA">
              <w:rPr>
                <w:kern w:val="52"/>
              </w:rPr>
              <w:t>200,000</w:t>
            </w:r>
            <w:r>
              <w:rPr>
                <w:kern w:val="52"/>
              </w:rPr>
              <w:t xml:space="preserve"> up to a maximum of 860,000 Units for gross proceeds of </w:t>
            </w:r>
            <w:r w:rsidR="009400A5">
              <w:rPr>
                <w:kern w:val="52"/>
              </w:rPr>
              <w:t>up to $215,000 (the “</w:t>
            </w:r>
            <w:r w:rsidR="009400A5">
              <w:rPr>
                <w:b/>
                <w:bCs/>
                <w:kern w:val="52"/>
              </w:rPr>
              <w:t>Offering</w:t>
            </w:r>
            <w:r w:rsidR="009400A5">
              <w:rPr>
                <w:kern w:val="52"/>
              </w:rPr>
              <w:t>”)</w:t>
            </w:r>
            <w:r w:rsidR="009E3287">
              <w:rPr>
                <w:kern w:val="52"/>
              </w:rPr>
              <w:t>.</w:t>
            </w:r>
          </w:p>
        </w:tc>
      </w:tr>
      <w:tr w:rsidRPr="009539B6" w:rsidR="001149F1" w:rsidTr="00006130" w14:paraId="67801A91" w14:textId="77777777">
        <w:trPr>
          <w:trHeight w:val="411"/>
        </w:trPr>
        <w:tc>
          <w:tcPr>
            <w:tcW w:w="2001" w:type="dxa"/>
            <w:shd w:val="clear" w:color="auto" w:fill="F2F2F2" w:themeFill="background1" w:themeFillShade="F2"/>
          </w:tcPr>
          <w:p w:rsidR="001149F1" w:rsidP="00E97659" w:rsidRDefault="001149F1" w14:paraId="5073C759" w14:textId="77777777">
            <w:pPr>
              <w:pStyle w:val="TableParagraph"/>
              <w:spacing w:before="120" w:after="120" w:line="204" w:lineRule="exact"/>
              <w:ind w:left="113"/>
              <w:rPr>
                <w:b/>
              </w:rPr>
            </w:pPr>
            <w:bookmarkStart w:name="_Hlk183022257" w:id="1"/>
            <w:r>
              <w:rPr>
                <w:b/>
              </w:rPr>
              <w:t>Description of Offered Securities</w:t>
            </w:r>
            <w:r w:rsidR="00591BD5">
              <w:rPr>
                <w:b/>
              </w:rPr>
              <w:t>:</w:t>
            </w:r>
          </w:p>
          <w:p w:rsidRPr="009539B6" w:rsidR="00006130" w:rsidP="00E97659" w:rsidRDefault="00006130" w14:paraId="54F4C734" w14:textId="0C3A7525">
            <w:pPr>
              <w:pStyle w:val="TableParagraph"/>
              <w:spacing w:before="120" w:after="120" w:line="204" w:lineRule="exact"/>
              <w:ind w:left="113"/>
              <w:rPr>
                <w:b/>
              </w:rPr>
            </w:pPr>
          </w:p>
        </w:tc>
        <w:tc>
          <w:tcPr>
            <w:tcW w:w="7371" w:type="dxa"/>
          </w:tcPr>
          <w:p w:rsidR="001149F1" w:rsidP="003C5389" w:rsidRDefault="001149F1" w14:paraId="2C7726A8" w14:textId="74DC1365">
            <w:pPr>
              <w:pStyle w:val="TableParagraph"/>
              <w:spacing w:before="120"/>
              <w:ind w:left="113" w:right="113"/>
              <w:jc w:val="both"/>
              <w:rPr>
                <w:kern w:val="52"/>
              </w:rPr>
            </w:pPr>
            <w:r>
              <w:rPr>
                <w:kern w:val="52"/>
              </w:rPr>
              <w:t>Each Unit will be comprised of one common share of the Company</w:t>
            </w:r>
            <w:r w:rsidR="00A42709">
              <w:rPr>
                <w:kern w:val="52"/>
              </w:rPr>
              <w:t xml:space="preserve"> (each</w:t>
            </w:r>
            <w:r w:rsidR="009400A5">
              <w:rPr>
                <w:kern w:val="52"/>
              </w:rPr>
              <w:t>,</w:t>
            </w:r>
            <w:r w:rsidR="00A42709">
              <w:rPr>
                <w:kern w:val="52"/>
              </w:rPr>
              <w:t xml:space="preserve"> a “</w:t>
            </w:r>
            <w:r w:rsidRPr="00A42709" w:rsidR="00A42709">
              <w:rPr>
                <w:b/>
                <w:bCs/>
                <w:kern w:val="52"/>
              </w:rPr>
              <w:t>Common Share</w:t>
            </w:r>
            <w:r w:rsidR="00A42709">
              <w:rPr>
                <w:kern w:val="52"/>
              </w:rPr>
              <w:t>”)</w:t>
            </w:r>
            <w:r>
              <w:rPr>
                <w:kern w:val="52"/>
              </w:rPr>
              <w:t xml:space="preserve"> </w:t>
            </w:r>
            <w:r w:rsidRPr="006A0FEB">
              <w:rPr>
                <w:kern w:val="52"/>
              </w:rPr>
              <w:t>and</w:t>
            </w:r>
            <w:r>
              <w:rPr>
                <w:kern w:val="52"/>
              </w:rPr>
              <w:t xml:space="preserve"> one </w:t>
            </w:r>
            <w:r w:rsidR="00A1699A">
              <w:rPr>
                <w:kern w:val="52"/>
              </w:rPr>
              <w:t xml:space="preserve">transferrable </w:t>
            </w:r>
            <w:r>
              <w:rPr>
                <w:kern w:val="52"/>
              </w:rPr>
              <w:t>common share purchase warrant (each a “</w:t>
            </w:r>
            <w:r>
              <w:rPr>
                <w:b/>
                <w:bCs/>
                <w:kern w:val="52"/>
              </w:rPr>
              <w:t>Warrant</w:t>
            </w:r>
            <w:r>
              <w:rPr>
                <w:kern w:val="52"/>
              </w:rPr>
              <w:t xml:space="preserve">”). Each Warrant will entitle the holder to acquire </w:t>
            </w:r>
            <w:r w:rsidR="009400A5">
              <w:rPr>
                <w:kern w:val="52"/>
              </w:rPr>
              <w:t>an</w:t>
            </w:r>
            <w:r>
              <w:rPr>
                <w:kern w:val="52"/>
              </w:rPr>
              <w:t xml:space="preserve"> additional </w:t>
            </w:r>
            <w:r w:rsidR="00A42709">
              <w:rPr>
                <w:kern w:val="52"/>
              </w:rPr>
              <w:t>C</w:t>
            </w:r>
            <w:r>
              <w:rPr>
                <w:kern w:val="52"/>
              </w:rPr>
              <w:t xml:space="preserve">ommon </w:t>
            </w:r>
            <w:r w:rsidR="00A42709">
              <w:rPr>
                <w:kern w:val="52"/>
              </w:rPr>
              <w:t>S</w:t>
            </w:r>
            <w:r>
              <w:rPr>
                <w:kern w:val="52"/>
              </w:rPr>
              <w:t xml:space="preserve">hare at a price </w:t>
            </w:r>
            <w:r w:rsidRPr="00921381">
              <w:rPr>
                <w:kern w:val="52"/>
              </w:rPr>
              <w:t xml:space="preserve">of </w:t>
            </w:r>
            <w:r w:rsidR="00E3608B">
              <w:rPr>
                <w:kern w:val="52"/>
              </w:rPr>
              <w:t xml:space="preserve">$0.35 </w:t>
            </w:r>
            <w:r w:rsidRPr="00921381">
              <w:rPr>
                <w:kern w:val="52"/>
              </w:rPr>
              <w:t>per</w:t>
            </w:r>
            <w:r>
              <w:rPr>
                <w:kern w:val="52"/>
              </w:rPr>
              <w:t xml:space="preserve"> share for a period of </w:t>
            </w:r>
            <w:r w:rsidR="000605D4">
              <w:rPr>
                <w:kern w:val="52"/>
              </w:rPr>
              <w:t>24 months</w:t>
            </w:r>
            <w:r>
              <w:rPr>
                <w:kern w:val="52"/>
              </w:rPr>
              <w:t xml:space="preserve"> from the Closing Date (as defined herein)</w:t>
            </w:r>
            <w:r w:rsidRPr="00313F75" w:rsidR="00441B78">
              <w:rPr>
                <w:kern w:val="52"/>
              </w:rPr>
              <w:t>, subject to the Accelerated Exercise Period (as defined herein)</w:t>
            </w:r>
            <w:r w:rsidRPr="00441B78" w:rsidR="00441B78">
              <w:rPr>
                <w:kern w:val="52"/>
              </w:rPr>
              <w:t xml:space="preserve">. </w:t>
            </w:r>
            <w:r w:rsidRPr="00926AEC" w:rsidR="00926AEC">
              <w:rPr>
                <w:kern w:val="52"/>
              </w:rPr>
              <w:t>The</w:t>
            </w:r>
            <w:r w:rsidR="00926AEC">
              <w:rPr>
                <w:kern w:val="52"/>
              </w:rPr>
              <w:t xml:space="preserve"> </w:t>
            </w:r>
            <w:r w:rsidRPr="00926AEC" w:rsidR="00926AEC">
              <w:rPr>
                <w:kern w:val="52"/>
              </w:rPr>
              <w:t>Warrants will</w:t>
            </w:r>
            <w:r w:rsidR="00926AEC">
              <w:rPr>
                <w:kern w:val="52"/>
              </w:rPr>
              <w:t xml:space="preserve"> </w:t>
            </w:r>
            <w:r w:rsidRPr="00926AEC" w:rsidR="00926AEC">
              <w:rPr>
                <w:kern w:val="52"/>
              </w:rPr>
              <w:t>also</w:t>
            </w:r>
            <w:r w:rsidR="00926AEC">
              <w:rPr>
                <w:kern w:val="52"/>
              </w:rPr>
              <w:t xml:space="preserve"> </w:t>
            </w:r>
            <w:r w:rsidRPr="00926AEC" w:rsidR="00926AEC">
              <w:rPr>
                <w:kern w:val="52"/>
              </w:rPr>
              <w:t>be subject to a restriction on exercise that expires</w:t>
            </w:r>
            <w:r w:rsidR="00926AEC">
              <w:rPr>
                <w:kern w:val="52"/>
              </w:rPr>
              <w:t xml:space="preserve"> </w:t>
            </w:r>
            <w:r w:rsidRPr="00926AEC" w:rsidR="00926AEC">
              <w:rPr>
                <w:kern w:val="52"/>
              </w:rPr>
              <w:t>61 days following the Closing Date</w:t>
            </w:r>
            <w:r w:rsidR="00DB2268">
              <w:rPr>
                <w:kern w:val="52"/>
              </w:rPr>
              <w:t xml:space="preserve"> (the “</w:t>
            </w:r>
            <w:r w:rsidRPr="00DB2268" w:rsidR="00DB2268">
              <w:rPr>
                <w:b/>
                <w:bCs/>
                <w:kern w:val="52"/>
              </w:rPr>
              <w:t xml:space="preserve">Exercise </w:t>
            </w:r>
            <w:r w:rsidR="002F2140">
              <w:rPr>
                <w:b/>
                <w:bCs/>
                <w:kern w:val="52"/>
              </w:rPr>
              <w:t xml:space="preserve">Restriction </w:t>
            </w:r>
            <w:r w:rsidRPr="00DB2268" w:rsidR="00DB2268">
              <w:rPr>
                <w:b/>
                <w:bCs/>
                <w:kern w:val="52"/>
              </w:rPr>
              <w:t>Period</w:t>
            </w:r>
            <w:r w:rsidR="00DB2268">
              <w:rPr>
                <w:kern w:val="52"/>
              </w:rPr>
              <w:t>”)</w:t>
            </w:r>
            <w:r w:rsidRPr="00926AEC" w:rsidR="00926AEC">
              <w:rPr>
                <w:kern w:val="52"/>
              </w:rPr>
              <w:t>.</w:t>
            </w:r>
          </w:p>
          <w:p w:rsidRPr="00006130" w:rsidR="00441B78" w:rsidP="00370525" w:rsidRDefault="00441B78" w14:paraId="5704861D" w14:textId="77777777">
            <w:pPr>
              <w:pStyle w:val="TableParagraph"/>
              <w:ind w:left="113" w:right="113"/>
              <w:jc w:val="both"/>
              <w:rPr>
                <w:kern w:val="52"/>
                <w:sz w:val="20"/>
                <w:szCs w:val="20"/>
              </w:rPr>
            </w:pPr>
          </w:p>
          <w:p w:rsidRPr="00321FAA" w:rsidR="00441B78" w:rsidP="00321FAA" w:rsidRDefault="00370525" w14:paraId="4D8AF905" w14:textId="6BA37EEA">
            <w:pPr>
              <w:ind w:left="113" w:right="113"/>
              <w:jc w:val="both"/>
              <w:rPr>
                <w:spacing w:val="-2"/>
                <w:lang w:val="en-GB"/>
              </w:rPr>
            </w:pPr>
            <w:r w:rsidRPr="00313F75">
              <w:rPr>
                <w:spacing w:val="-2"/>
                <w:lang w:val="en-GB"/>
              </w:rPr>
              <w:t xml:space="preserve">If, over a period of ten (10) consecutive trading days between the Closing Date and the expiry of the Warrants, the closing price of the </w:t>
            </w:r>
            <w:r w:rsidRPr="00313F75" w:rsidR="00A42709">
              <w:rPr>
                <w:spacing w:val="-2"/>
                <w:lang w:val="en-GB"/>
              </w:rPr>
              <w:t>C</w:t>
            </w:r>
            <w:r w:rsidRPr="00313F75">
              <w:rPr>
                <w:spacing w:val="-2"/>
                <w:lang w:val="en-GB"/>
              </w:rPr>
              <w:t xml:space="preserve">ommon </w:t>
            </w:r>
            <w:r w:rsidRPr="00313F75" w:rsidR="00A42709">
              <w:rPr>
                <w:spacing w:val="-2"/>
                <w:lang w:val="en-GB"/>
              </w:rPr>
              <w:t>S</w:t>
            </w:r>
            <w:r w:rsidRPr="00313F75">
              <w:rPr>
                <w:spacing w:val="-2"/>
                <w:lang w:val="en-GB"/>
              </w:rPr>
              <w:t>hares on the Canadian Securities Exchange (“</w:t>
            </w:r>
            <w:r w:rsidRPr="00313F75">
              <w:rPr>
                <w:b/>
                <w:bCs/>
                <w:spacing w:val="-2"/>
                <w:lang w:val="en-GB"/>
              </w:rPr>
              <w:t>CSE</w:t>
            </w:r>
            <w:r w:rsidRPr="00313F75">
              <w:rPr>
                <w:spacing w:val="-2"/>
                <w:lang w:val="en-GB"/>
              </w:rPr>
              <w:t>”) (or such other stock exchange where the majority of the trading volume occurs) is at</w:t>
            </w:r>
            <w:r w:rsidRPr="00313F75" w:rsidR="00E614CF">
              <w:rPr>
                <w:spacing w:val="-2"/>
                <w:lang w:val="en-GB"/>
              </w:rPr>
              <w:t xml:space="preserve"> a price equal to or greater than</w:t>
            </w:r>
            <w:r w:rsidRPr="00313F75">
              <w:rPr>
                <w:spacing w:val="-2"/>
                <w:lang w:val="en-GB"/>
              </w:rPr>
              <w:t xml:space="preserve"> $</w:t>
            </w:r>
            <w:r w:rsidR="003045BA">
              <w:rPr>
                <w:spacing w:val="-2"/>
                <w:lang w:val="en-GB"/>
              </w:rPr>
              <w:t>0.50</w:t>
            </w:r>
            <w:r w:rsidRPr="00313F75">
              <w:rPr>
                <w:spacing w:val="-2"/>
                <w:lang w:val="en-GB"/>
              </w:rPr>
              <w:t xml:space="preserve"> for each of those ten (10) consecutive days, the Company may, at any time after such an occurrence</w:t>
            </w:r>
            <w:r w:rsidR="00DB2268">
              <w:rPr>
                <w:spacing w:val="-2"/>
                <w:lang w:val="en-GB"/>
              </w:rPr>
              <w:t xml:space="preserve"> but not prior to the expiry of the </w:t>
            </w:r>
            <w:r w:rsidRPr="002F2140" w:rsidR="002F2140">
              <w:rPr>
                <w:spacing w:val="-2"/>
                <w:lang w:val="en-GB"/>
              </w:rPr>
              <w:t>Exercise Restriction Period</w:t>
            </w:r>
            <w:r w:rsidRPr="00313F75">
              <w:rPr>
                <w:spacing w:val="-2"/>
                <w:lang w:val="en-GB"/>
              </w:rPr>
              <w:t>, give written notice (via news release) to the holders of the Warrants that the Warrants will expire at 5:00 p.m. (Vancouver time) on the 30th day following the giving of notice (the “</w:t>
            </w:r>
            <w:r w:rsidRPr="00313F75">
              <w:rPr>
                <w:b/>
                <w:bCs/>
                <w:spacing w:val="-2"/>
                <w:lang w:val="en-GB"/>
              </w:rPr>
              <w:t>Accelerated Exercise Period</w:t>
            </w:r>
            <w:r w:rsidRPr="00313F75">
              <w:rPr>
                <w:spacing w:val="-2"/>
                <w:lang w:val="en-GB"/>
              </w:rPr>
              <w:t xml:space="preserve">”) unless exercised by the holders prior to such date. Upon receipt of such notice, the holders of the Warrants will have 30 days to exercise their Warrants. Any Warrants which remain unexercised at 5:00 p.m. (Vancouver time) on the 30th day following the giving of such notice will expire at that time. Any insiders of the Company who are unable </w:t>
            </w:r>
            <w:r w:rsidRPr="00313F75">
              <w:rPr>
                <w:spacing w:val="-2"/>
                <w:lang w:val="en-GB"/>
              </w:rPr>
              <w:lastRenderedPageBreak/>
              <w:t>to exercise their Warrants due to any ‘blackout period’ being in effect during the term of their Warrants will</w:t>
            </w:r>
            <w:r w:rsidRPr="00313F75">
              <w:rPr>
                <w:color w:val="000000"/>
                <w:lang w:eastAsia="en-CA"/>
              </w:rPr>
              <w:t xml:space="preserve"> </w:t>
            </w:r>
            <w:r w:rsidRPr="00313F75">
              <w:rPr>
                <w:spacing w:val="-2"/>
              </w:rPr>
              <w:t>automatically have their Accelerated Exercise Period extended by the aggregate time of the blackout period(s).</w:t>
            </w:r>
          </w:p>
        </w:tc>
      </w:tr>
      <w:bookmarkEnd w:id="1"/>
      <w:tr w:rsidRPr="009539B6" w:rsidR="009539B6" w:rsidTr="003C5389" w14:paraId="5C97900E" w14:textId="77777777">
        <w:trPr>
          <w:trHeight w:val="467"/>
        </w:trPr>
        <w:tc>
          <w:tcPr>
            <w:tcW w:w="2001" w:type="dxa"/>
            <w:shd w:val="clear" w:color="auto" w:fill="F2F2F2" w:themeFill="background1" w:themeFillShade="F2"/>
          </w:tcPr>
          <w:p w:rsidRPr="009539B6" w:rsidR="009539B6" w:rsidP="00E97659" w:rsidRDefault="009539B6" w14:paraId="1C8D0D4F" w14:textId="6F0DCEE1">
            <w:pPr>
              <w:pStyle w:val="TableParagraph"/>
              <w:spacing w:before="120" w:after="120"/>
              <w:ind w:left="113"/>
              <w:rPr>
                <w:b/>
              </w:rPr>
            </w:pPr>
            <w:r w:rsidRPr="009539B6">
              <w:rPr>
                <w:b/>
              </w:rPr>
              <w:lastRenderedPageBreak/>
              <w:t>Offering Price</w:t>
            </w:r>
            <w:r w:rsidR="00603F30">
              <w:rPr>
                <w:b/>
              </w:rPr>
              <w:t>:</w:t>
            </w:r>
          </w:p>
        </w:tc>
        <w:tc>
          <w:tcPr>
            <w:tcW w:w="7371" w:type="dxa"/>
          </w:tcPr>
          <w:p w:rsidRPr="00682F92" w:rsidR="009539B6" w:rsidP="00A1699A" w:rsidRDefault="009539B6" w14:paraId="6A446304" w14:textId="2A460307">
            <w:pPr>
              <w:pStyle w:val="TableParagraph"/>
              <w:spacing w:before="120" w:after="120"/>
              <w:ind w:left="113"/>
              <w:jc w:val="both"/>
              <w:rPr>
                <w:highlight w:val="cyan"/>
              </w:rPr>
            </w:pPr>
            <w:r w:rsidRPr="00262B3C">
              <w:t>$</w:t>
            </w:r>
            <w:r w:rsidRPr="00921381" w:rsidR="00370525">
              <w:t>0.</w:t>
            </w:r>
            <w:r w:rsidR="009400A5">
              <w:t>25</w:t>
            </w:r>
            <w:r w:rsidRPr="00921381">
              <w:t xml:space="preserve"> per</w:t>
            </w:r>
            <w:r w:rsidRPr="00921381" w:rsidR="00370525">
              <w:t xml:space="preserve"> </w:t>
            </w:r>
            <w:r w:rsidRPr="00921381">
              <w:t>Uni</w:t>
            </w:r>
            <w:r w:rsidRPr="00921381" w:rsidR="00262B3C">
              <w:t>t</w:t>
            </w:r>
            <w:r w:rsidRPr="00262B3C" w:rsidR="00262B3C">
              <w:t xml:space="preserve"> </w:t>
            </w:r>
          </w:p>
        </w:tc>
      </w:tr>
      <w:tr w:rsidRPr="009539B6" w:rsidR="009539B6" w:rsidTr="003C5389" w14:paraId="0ACAA76B" w14:textId="77777777">
        <w:trPr>
          <w:trHeight w:val="465"/>
        </w:trPr>
        <w:tc>
          <w:tcPr>
            <w:tcW w:w="2001" w:type="dxa"/>
            <w:shd w:val="clear" w:color="auto" w:fill="F2F2F2" w:themeFill="background1" w:themeFillShade="F2"/>
          </w:tcPr>
          <w:p w:rsidRPr="009539B6" w:rsidR="009539B6" w:rsidP="00E97659" w:rsidRDefault="009539B6" w14:paraId="273E44E7" w14:textId="77777777">
            <w:pPr>
              <w:pStyle w:val="TableParagraph"/>
              <w:spacing w:before="120" w:after="120"/>
              <w:ind w:left="113"/>
              <w:rPr>
                <w:b/>
              </w:rPr>
            </w:pPr>
            <w:r w:rsidRPr="009539B6">
              <w:rPr>
                <w:b/>
              </w:rPr>
              <w:t>Closing Date:</w:t>
            </w:r>
          </w:p>
        </w:tc>
        <w:tc>
          <w:tcPr>
            <w:tcW w:w="7371" w:type="dxa"/>
          </w:tcPr>
          <w:p w:rsidRPr="009539B6" w:rsidR="00D67A4F" w:rsidP="00E3608B" w:rsidRDefault="00D67A4F" w14:paraId="1AE62949" w14:textId="3E2462E9">
            <w:pPr>
              <w:ind w:left="113" w:right="113"/>
              <w:jc w:val="both"/>
            </w:pPr>
            <w:r w:rsidRPr="00D67A4F">
              <w:t>The Offering is expected to close on or about</w:t>
            </w:r>
            <w:r>
              <w:t xml:space="preserve"> </w:t>
            </w:r>
            <w:r w:rsidR="00C36930">
              <w:t>December 31, 2025</w:t>
            </w:r>
            <w:r w:rsidRPr="00D67A4F">
              <w:t xml:space="preserve">, or on any other date as the Company may determine, and, in any event, on or before a date not later than 45 days after the date of the filing of this </w:t>
            </w:r>
            <w:r w:rsidR="00A42709">
              <w:t>o</w:t>
            </w:r>
            <w:r w:rsidRPr="00D67A4F">
              <w:t xml:space="preserve">ffering </w:t>
            </w:r>
            <w:r w:rsidRPr="00E3608B" w:rsidR="00A42709">
              <w:rPr>
                <w:spacing w:val="-2"/>
              </w:rPr>
              <w:t>d</w:t>
            </w:r>
            <w:r w:rsidRPr="00E3608B">
              <w:rPr>
                <w:spacing w:val="-2"/>
              </w:rPr>
              <w:t>ocument</w:t>
            </w:r>
            <w:r w:rsidR="00926AEC">
              <w:rPr>
                <w:spacing w:val="-2"/>
              </w:rPr>
              <w:t xml:space="preserve"> (the “</w:t>
            </w:r>
            <w:r w:rsidRPr="00E3608B" w:rsidR="00926AEC">
              <w:rPr>
                <w:b/>
                <w:bCs/>
                <w:spacing w:val="-2"/>
              </w:rPr>
              <w:t>Closing Date</w:t>
            </w:r>
            <w:r w:rsidR="00926AEC">
              <w:rPr>
                <w:spacing w:val="-2"/>
              </w:rPr>
              <w:t>”)</w:t>
            </w:r>
            <w:r w:rsidRPr="00D67A4F">
              <w:t>. The Offering may close in one or more tranches</w:t>
            </w:r>
            <w:r>
              <w:t xml:space="preserve"> </w:t>
            </w:r>
            <w:r w:rsidRPr="009539B6">
              <w:t>and is subject to receipt of all necessary regulatory approvals.</w:t>
            </w:r>
          </w:p>
        </w:tc>
      </w:tr>
      <w:tr w:rsidRPr="009539B6" w:rsidR="009539B6" w:rsidTr="003C5389" w14:paraId="38DA2BCA" w14:textId="77777777">
        <w:trPr>
          <w:trHeight w:val="507"/>
        </w:trPr>
        <w:tc>
          <w:tcPr>
            <w:tcW w:w="2001" w:type="dxa"/>
            <w:shd w:val="clear" w:color="auto" w:fill="F2F2F2" w:themeFill="background1" w:themeFillShade="F2"/>
          </w:tcPr>
          <w:p w:rsidRPr="009539B6" w:rsidR="009539B6" w:rsidP="00591BD5" w:rsidRDefault="00411953" w14:paraId="77424FD7" w14:textId="27090750">
            <w:pPr>
              <w:pStyle w:val="TableParagraph"/>
              <w:spacing w:before="120" w:after="120"/>
              <w:ind w:left="113" w:right="57"/>
              <w:rPr>
                <w:b/>
              </w:rPr>
            </w:pPr>
            <w:r>
              <w:rPr>
                <w:b/>
              </w:rPr>
              <w:t>Exchange:</w:t>
            </w:r>
          </w:p>
        </w:tc>
        <w:tc>
          <w:tcPr>
            <w:tcW w:w="7371" w:type="dxa"/>
          </w:tcPr>
          <w:p w:rsidRPr="009539B6" w:rsidR="009539B6" w:rsidP="00591BD5" w:rsidRDefault="009539B6" w14:paraId="45FDE8D6" w14:textId="15AF034E">
            <w:pPr>
              <w:pStyle w:val="TableParagraph"/>
              <w:spacing w:before="120" w:after="120"/>
              <w:ind w:left="113"/>
              <w:jc w:val="both"/>
            </w:pPr>
            <w:r w:rsidRPr="009539B6">
              <w:t xml:space="preserve">The </w:t>
            </w:r>
            <w:r w:rsidR="00A42709">
              <w:t>C</w:t>
            </w:r>
            <w:r w:rsidRPr="009539B6">
              <w:t xml:space="preserve">ommon </w:t>
            </w:r>
            <w:r w:rsidR="00A42709">
              <w:t>S</w:t>
            </w:r>
            <w:r w:rsidRPr="009539B6">
              <w:t xml:space="preserve">hares are listed on the </w:t>
            </w:r>
            <w:r w:rsidR="008E581F">
              <w:t xml:space="preserve">CSE </w:t>
            </w:r>
            <w:r w:rsidRPr="009539B6">
              <w:t>under the symbol “</w:t>
            </w:r>
            <w:r w:rsidR="008E581F">
              <w:t>BLST”.</w:t>
            </w:r>
          </w:p>
        </w:tc>
      </w:tr>
      <w:tr w:rsidRPr="009539B6" w:rsidR="009539B6" w:rsidTr="003C5389" w14:paraId="138B106D" w14:textId="77777777">
        <w:trPr>
          <w:trHeight w:val="567"/>
        </w:trPr>
        <w:tc>
          <w:tcPr>
            <w:tcW w:w="2001" w:type="dxa"/>
            <w:shd w:val="clear" w:color="auto" w:fill="F2F2F2" w:themeFill="background1" w:themeFillShade="F2"/>
          </w:tcPr>
          <w:p w:rsidRPr="009539B6" w:rsidR="009539B6" w:rsidP="00591BD5" w:rsidRDefault="00411953" w14:paraId="24CEBA41" w14:textId="59BD6DCD">
            <w:pPr>
              <w:pStyle w:val="TableParagraph"/>
              <w:spacing w:before="120" w:after="120"/>
              <w:ind w:left="113"/>
              <w:rPr>
                <w:b/>
              </w:rPr>
            </w:pPr>
            <w:r>
              <w:rPr>
                <w:b/>
              </w:rPr>
              <w:t>Last Closing Price:</w:t>
            </w:r>
          </w:p>
        </w:tc>
        <w:tc>
          <w:tcPr>
            <w:tcW w:w="7371" w:type="dxa"/>
          </w:tcPr>
          <w:p w:rsidRPr="009539B6" w:rsidR="009539B6" w:rsidP="00E97659" w:rsidRDefault="009539B6" w14:paraId="29CC093C" w14:textId="5B99F61D">
            <w:pPr>
              <w:pStyle w:val="TableParagraph"/>
              <w:spacing w:before="120" w:after="120"/>
              <w:ind w:left="113"/>
            </w:pPr>
            <w:r w:rsidRPr="009539B6">
              <w:t xml:space="preserve">On </w:t>
            </w:r>
            <w:r w:rsidR="000605D4">
              <w:t xml:space="preserve">December </w:t>
            </w:r>
            <w:r w:rsidR="00226EF8">
              <w:t>9</w:t>
            </w:r>
            <w:r w:rsidRPr="009539B6">
              <w:t>, 202</w:t>
            </w:r>
            <w:r w:rsidR="001409E1">
              <w:t>5</w:t>
            </w:r>
            <w:r w:rsidRPr="009539B6">
              <w:t xml:space="preserve">, the closing price of the </w:t>
            </w:r>
            <w:r w:rsidR="00A42709">
              <w:t>C</w:t>
            </w:r>
            <w:r w:rsidRPr="009539B6">
              <w:t>ommon</w:t>
            </w:r>
            <w:r w:rsidRPr="009539B6">
              <w:rPr>
                <w:spacing w:val="-6"/>
              </w:rPr>
              <w:t xml:space="preserve"> </w:t>
            </w:r>
            <w:r w:rsidR="00A42709">
              <w:t>S</w:t>
            </w:r>
            <w:r w:rsidRPr="009539B6">
              <w:t>hares</w:t>
            </w:r>
            <w:r w:rsidRPr="009539B6">
              <w:rPr>
                <w:spacing w:val="-5"/>
              </w:rPr>
              <w:t xml:space="preserve"> </w:t>
            </w:r>
            <w:r w:rsidRPr="009539B6">
              <w:t>on</w:t>
            </w:r>
            <w:r w:rsidRPr="009539B6">
              <w:rPr>
                <w:spacing w:val="-5"/>
              </w:rPr>
              <w:t xml:space="preserve"> </w:t>
            </w:r>
            <w:r w:rsidRPr="009539B6">
              <w:t>the</w:t>
            </w:r>
            <w:r w:rsidRPr="009539B6">
              <w:rPr>
                <w:spacing w:val="-4"/>
              </w:rPr>
              <w:t xml:space="preserve"> </w:t>
            </w:r>
            <w:r w:rsidR="00523427">
              <w:t>CSE</w:t>
            </w:r>
            <w:r w:rsidRPr="009539B6">
              <w:rPr>
                <w:spacing w:val="-4"/>
              </w:rPr>
              <w:t xml:space="preserve"> </w:t>
            </w:r>
            <w:r w:rsidRPr="009539B6">
              <w:t>w</w:t>
            </w:r>
            <w:r w:rsidR="008E581F">
              <w:t>as</w:t>
            </w:r>
            <w:r w:rsidR="00E97659">
              <w:t xml:space="preserve"> </w:t>
            </w:r>
            <w:r w:rsidR="00591BD5">
              <w:t>$</w:t>
            </w:r>
            <w:r w:rsidR="00DC7E65">
              <w:t>0.2</w:t>
            </w:r>
            <w:r w:rsidR="00587C63">
              <w:t>4</w:t>
            </w:r>
            <w:r w:rsidR="00226EF8">
              <w:t>5</w:t>
            </w:r>
            <w:r w:rsidR="001E2916">
              <w:t>.</w:t>
            </w:r>
            <w:r w:rsidR="00E97659">
              <w:t xml:space="preserve"> </w:t>
            </w:r>
          </w:p>
        </w:tc>
      </w:tr>
    </w:tbl>
    <w:p w:rsidRPr="009539B6" w:rsidR="009539B6" w:rsidP="002E20F6" w:rsidRDefault="009539B6" w14:paraId="0B0611BD" w14:textId="77777777">
      <w:pPr>
        <w:jc w:val="both"/>
        <w:rPr>
          <w:b/>
          <w:i/>
        </w:rPr>
      </w:pPr>
    </w:p>
    <w:p w:rsidR="00AD5D72" w:rsidP="002E20F6" w:rsidRDefault="00AD5D72" w14:paraId="2840AD60" w14:textId="37073BC9">
      <w:pPr>
        <w:jc w:val="both"/>
        <w:rPr>
          <w:b/>
          <w:i/>
        </w:rPr>
      </w:pPr>
      <w:r w:rsidRPr="00AD5D72">
        <w:rPr>
          <w:b/>
          <w:i/>
        </w:rPr>
        <w:t>No securities regulatory authority or regulator has assessed the merits of these securities or reviewed this document. Any representation to the contrary is an offence. The Offering may not be suitable for you and you should only invest in it if you are willing to risk the loss of your entire investment. In making this investment decision, you should seek the advice of a registered dealer.</w:t>
      </w:r>
    </w:p>
    <w:p w:rsidRPr="009539B6" w:rsidR="009539B6" w:rsidP="002E20F6" w:rsidRDefault="009539B6" w14:paraId="4B6A9166" w14:textId="4113C829">
      <w:pPr>
        <w:jc w:val="both"/>
        <w:rPr>
          <w:b/>
          <w:i/>
        </w:rPr>
      </w:pPr>
    </w:p>
    <w:p w:rsidRPr="009539B6" w:rsidR="009539B6" w:rsidP="002E20F6" w:rsidRDefault="009539B6" w14:paraId="0225EAFE" w14:textId="77777777">
      <w:pPr>
        <w:jc w:val="both"/>
        <w:rPr>
          <w:b/>
        </w:rPr>
      </w:pPr>
      <w:r w:rsidRPr="009539B6">
        <w:rPr>
          <w:b/>
        </w:rPr>
        <w:t>The Company</w:t>
      </w:r>
      <w:r w:rsidRPr="009539B6">
        <w:rPr>
          <w:b/>
          <w:spacing w:val="-6"/>
        </w:rPr>
        <w:t xml:space="preserve"> </w:t>
      </w:r>
      <w:r w:rsidRPr="009539B6">
        <w:rPr>
          <w:b/>
        </w:rPr>
        <w:t>is</w:t>
      </w:r>
      <w:r w:rsidRPr="009539B6">
        <w:rPr>
          <w:b/>
          <w:spacing w:val="-3"/>
        </w:rPr>
        <w:t xml:space="preserve"> </w:t>
      </w:r>
      <w:r w:rsidRPr="009539B6">
        <w:rPr>
          <w:b/>
        </w:rPr>
        <w:t>conducting</w:t>
      </w:r>
      <w:r w:rsidRPr="009539B6">
        <w:rPr>
          <w:b/>
          <w:spacing w:val="-3"/>
        </w:rPr>
        <w:t xml:space="preserve"> </w:t>
      </w:r>
      <w:r w:rsidRPr="009539B6">
        <w:rPr>
          <w:b/>
        </w:rPr>
        <w:t>a</w:t>
      </w:r>
      <w:r w:rsidRPr="009539B6">
        <w:rPr>
          <w:b/>
          <w:spacing w:val="-3"/>
        </w:rPr>
        <w:t xml:space="preserve"> </w:t>
      </w:r>
      <w:r w:rsidRPr="009539B6">
        <w:rPr>
          <w:b/>
        </w:rPr>
        <w:t>listed</w:t>
      </w:r>
      <w:r w:rsidRPr="009539B6">
        <w:rPr>
          <w:b/>
          <w:spacing w:val="-4"/>
        </w:rPr>
        <w:t xml:space="preserve"> </w:t>
      </w:r>
      <w:r w:rsidRPr="009539B6">
        <w:rPr>
          <w:b/>
        </w:rPr>
        <w:t>issuer</w:t>
      </w:r>
      <w:r w:rsidRPr="009539B6">
        <w:rPr>
          <w:b/>
          <w:spacing w:val="-4"/>
        </w:rPr>
        <w:t xml:space="preserve"> </w:t>
      </w:r>
      <w:r w:rsidRPr="009539B6">
        <w:rPr>
          <w:b/>
        </w:rPr>
        <w:t>financing</w:t>
      </w:r>
      <w:r w:rsidRPr="009539B6">
        <w:rPr>
          <w:b/>
          <w:spacing w:val="-3"/>
        </w:rPr>
        <w:t xml:space="preserve"> </w:t>
      </w:r>
      <w:r w:rsidRPr="009539B6">
        <w:rPr>
          <w:b/>
        </w:rPr>
        <w:t>under</w:t>
      </w:r>
      <w:r w:rsidRPr="009539B6">
        <w:rPr>
          <w:b/>
          <w:spacing w:val="-1"/>
        </w:rPr>
        <w:t xml:space="preserve"> </w:t>
      </w:r>
      <w:r w:rsidRPr="009539B6">
        <w:rPr>
          <w:b/>
        </w:rPr>
        <w:t>section</w:t>
      </w:r>
      <w:r w:rsidRPr="009539B6">
        <w:rPr>
          <w:b/>
          <w:spacing w:val="-5"/>
        </w:rPr>
        <w:t xml:space="preserve"> </w:t>
      </w:r>
      <w:r w:rsidRPr="009539B6">
        <w:rPr>
          <w:b/>
        </w:rPr>
        <w:t>5A.2</w:t>
      </w:r>
      <w:r w:rsidRPr="009539B6">
        <w:rPr>
          <w:b/>
          <w:spacing w:val="-3"/>
        </w:rPr>
        <w:t xml:space="preserve"> </w:t>
      </w:r>
      <w:r w:rsidRPr="009539B6">
        <w:rPr>
          <w:b/>
        </w:rPr>
        <w:t>of</w:t>
      </w:r>
      <w:r w:rsidRPr="009539B6">
        <w:rPr>
          <w:b/>
          <w:spacing w:val="-3"/>
        </w:rPr>
        <w:t xml:space="preserve"> </w:t>
      </w:r>
      <w:r w:rsidRPr="009539B6">
        <w:rPr>
          <w:b/>
        </w:rPr>
        <w:t>National</w:t>
      </w:r>
      <w:r w:rsidRPr="009539B6">
        <w:rPr>
          <w:b/>
          <w:spacing w:val="-5"/>
        </w:rPr>
        <w:t xml:space="preserve"> </w:t>
      </w:r>
      <w:r w:rsidRPr="009539B6">
        <w:rPr>
          <w:b/>
        </w:rPr>
        <w:t>Instrument</w:t>
      </w:r>
      <w:r w:rsidRPr="009539B6">
        <w:rPr>
          <w:b/>
          <w:spacing w:val="-4"/>
        </w:rPr>
        <w:t xml:space="preserve"> </w:t>
      </w:r>
      <w:r w:rsidRPr="009539B6">
        <w:rPr>
          <w:b/>
        </w:rPr>
        <w:t>45-106</w:t>
      </w:r>
      <w:r w:rsidRPr="009539B6">
        <w:rPr>
          <w:b/>
          <w:spacing w:val="-2"/>
        </w:rPr>
        <w:t xml:space="preserve"> </w:t>
      </w:r>
      <w:r w:rsidRPr="009539B6">
        <w:rPr>
          <w:b/>
        </w:rPr>
        <w:t>–</w:t>
      </w:r>
      <w:r w:rsidRPr="009539B6">
        <w:rPr>
          <w:b/>
          <w:spacing w:val="-4"/>
        </w:rPr>
        <w:t xml:space="preserve"> </w:t>
      </w:r>
      <w:r w:rsidRPr="009539B6">
        <w:rPr>
          <w:b/>
          <w:i/>
        </w:rPr>
        <w:t xml:space="preserve">Prospectus Exemptions. </w:t>
      </w:r>
      <w:r w:rsidRPr="009539B6">
        <w:rPr>
          <w:b/>
        </w:rPr>
        <w:t>In connection with this Offering, the Company represents the following is</w:t>
      </w:r>
      <w:r w:rsidRPr="009539B6">
        <w:rPr>
          <w:b/>
          <w:spacing w:val="-11"/>
        </w:rPr>
        <w:t xml:space="preserve"> </w:t>
      </w:r>
      <w:r w:rsidRPr="009539B6">
        <w:rPr>
          <w:b/>
        </w:rPr>
        <w:t>true:</w:t>
      </w:r>
    </w:p>
    <w:p w:rsidRPr="009539B6" w:rsidR="009539B6" w:rsidP="002E20F6" w:rsidRDefault="009539B6" w14:paraId="03B4D051" w14:textId="77777777">
      <w:pPr>
        <w:jc w:val="both"/>
        <w:rPr>
          <w:b/>
        </w:rPr>
      </w:pPr>
    </w:p>
    <w:p w:rsidRPr="009539B6" w:rsidR="009539B6" w:rsidP="002E20F6" w:rsidRDefault="009539B6" w14:paraId="4AA87630" w14:textId="1042565A">
      <w:pPr>
        <w:pStyle w:val="ListParagraph"/>
        <w:numPr>
          <w:ilvl w:val="0"/>
          <w:numId w:val="20"/>
        </w:numPr>
        <w:tabs>
          <w:tab w:val="left" w:pos="820"/>
        </w:tabs>
        <w:spacing w:after="80"/>
        <w:ind w:left="360"/>
        <w:contextualSpacing w:val="0"/>
        <w:jc w:val="both"/>
        <w:rPr>
          <w:b/>
        </w:rPr>
      </w:pPr>
      <w:r w:rsidRPr="009539B6">
        <w:rPr>
          <w:b/>
        </w:rPr>
        <w:t>The</w:t>
      </w:r>
      <w:r w:rsidRPr="009539B6">
        <w:rPr>
          <w:b/>
          <w:spacing w:val="-8"/>
        </w:rPr>
        <w:t xml:space="preserve"> </w:t>
      </w:r>
      <w:r w:rsidRPr="009539B6">
        <w:rPr>
          <w:b/>
        </w:rPr>
        <w:t>Company</w:t>
      </w:r>
      <w:r w:rsidRPr="009539B6">
        <w:rPr>
          <w:b/>
          <w:spacing w:val="-7"/>
        </w:rPr>
        <w:t xml:space="preserve"> </w:t>
      </w:r>
      <w:r w:rsidRPr="009539B6">
        <w:rPr>
          <w:b/>
        </w:rPr>
        <w:t>has</w:t>
      </w:r>
      <w:r w:rsidRPr="009539B6">
        <w:rPr>
          <w:b/>
          <w:spacing w:val="-8"/>
        </w:rPr>
        <w:t xml:space="preserve"> </w:t>
      </w:r>
      <w:r w:rsidRPr="009539B6">
        <w:rPr>
          <w:b/>
        </w:rPr>
        <w:t>active</w:t>
      </w:r>
      <w:r w:rsidRPr="009539B6">
        <w:rPr>
          <w:b/>
          <w:spacing w:val="-7"/>
        </w:rPr>
        <w:t xml:space="preserve"> </w:t>
      </w:r>
      <w:r w:rsidRPr="009539B6">
        <w:rPr>
          <w:b/>
        </w:rPr>
        <w:t>operations</w:t>
      </w:r>
      <w:r w:rsidRPr="009539B6">
        <w:rPr>
          <w:b/>
          <w:spacing w:val="-7"/>
        </w:rPr>
        <w:t xml:space="preserve"> </w:t>
      </w:r>
      <w:r w:rsidRPr="009539B6">
        <w:rPr>
          <w:b/>
        </w:rPr>
        <w:t>and</w:t>
      </w:r>
      <w:r w:rsidRPr="009539B6">
        <w:rPr>
          <w:b/>
          <w:spacing w:val="-8"/>
        </w:rPr>
        <w:t xml:space="preserve"> </w:t>
      </w:r>
      <w:r w:rsidRPr="009539B6">
        <w:rPr>
          <w:b/>
        </w:rPr>
        <w:t>its</w:t>
      </w:r>
      <w:r w:rsidRPr="009539B6">
        <w:rPr>
          <w:b/>
          <w:spacing w:val="-8"/>
        </w:rPr>
        <w:t xml:space="preserve"> </w:t>
      </w:r>
      <w:r w:rsidRPr="009539B6">
        <w:rPr>
          <w:b/>
        </w:rPr>
        <w:t>principal</w:t>
      </w:r>
      <w:r w:rsidRPr="009539B6">
        <w:rPr>
          <w:b/>
          <w:spacing w:val="-8"/>
        </w:rPr>
        <w:t xml:space="preserve"> </w:t>
      </w:r>
      <w:r w:rsidRPr="009539B6">
        <w:rPr>
          <w:b/>
        </w:rPr>
        <w:t>asset</w:t>
      </w:r>
      <w:r w:rsidRPr="009539B6">
        <w:rPr>
          <w:b/>
          <w:spacing w:val="-6"/>
        </w:rPr>
        <w:t xml:space="preserve"> </w:t>
      </w:r>
      <w:r w:rsidRPr="009539B6">
        <w:rPr>
          <w:b/>
        </w:rPr>
        <w:t>is</w:t>
      </w:r>
      <w:r w:rsidRPr="009539B6">
        <w:rPr>
          <w:b/>
          <w:spacing w:val="-9"/>
        </w:rPr>
        <w:t xml:space="preserve"> </w:t>
      </w:r>
      <w:r w:rsidRPr="009539B6">
        <w:rPr>
          <w:b/>
        </w:rPr>
        <w:t>not</w:t>
      </w:r>
      <w:r w:rsidRPr="009539B6">
        <w:rPr>
          <w:b/>
          <w:spacing w:val="-6"/>
        </w:rPr>
        <w:t xml:space="preserve"> </w:t>
      </w:r>
      <w:r w:rsidRPr="009539B6">
        <w:rPr>
          <w:b/>
        </w:rPr>
        <w:t>cash,</w:t>
      </w:r>
      <w:r w:rsidRPr="009539B6">
        <w:rPr>
          <w:b/>
          <w:spacing w:val="-7"/>
        </w:rPr>
        <w:t xml:space="preserve"> </w:t>
      </w:r>
      <w:r w:rsidRPr="009539B6">
        <w:rPr>
          <w:b/>
        </w:rPr>
        <w:t>cash</w:t>
      </w:r>
      <w:r w:rsidRPr="009539B6">
        <w:rPr>
          <w:b/>
          <w:spacing w:val="-7"/>
        </w:rPr>
        <w:t xml:space="preserve"> </w:t>
      </w:r>
      <w:r w:rsidRPr="009539B6">
        <w:rPr>
          <w:b/>
        </w:rPr>
        <w:t>equivalents</w:t>
      </w:r>
      <w:r w:rsidRPr="009539B6">
        <w:rPr>
          <w:b/>
          <w:spacing w:val="-9"/>
        </w:rPr>
        <w:t xml:space="preserve"> </w:t>
      </w:r>
      <w:r w:rsidRPr="009539B6">
        <w:rPr>
          <w:b/>
        </w:rPr>
        <w:t>or</w:t>
      </w:r>
      <w:r w:rsidRPr="009539B6">
        <w:rPr>
          <w:b/>
          <w:spacing w:val="-7"/>
        </w:rPr>
        <w:t xml:space="preserve"> </w:t>
      </w:r>
      <w:r w:rsidRPr="009539B6">
        <w:rPr>
          <w:b/>
        </w:rPr>
        <w:t>its</w:t>
      </w:r>
      <w:r w:rsidRPr="009539B6">
        <w:rPr>
          <w:b/>
          <w:spacing w:val="-9"/>
        </w:rPr>
        <w:t xml:space="preserve"> </w:t>
      </w:r>
      <w:r w:rsidRPr="009539B6">
        <w:rPr>
          <w:b/>
        </w:rPr>
        <w:t>exchange listing</w:t>
      </w:r>
      <w:r w:rsidR="002A3E85">
        <w:rPr>
          <w:b/>
        </w:rPr>
        <w:t>.</w:t>
      </w:r>
    </w:p>
    <w:p w:rsidR="009539B6" w:rsidP="002E20F6" w:rsidRDefault="009539B6" w14:paraId="3BCAFA34" w14:textId="1546F3E4">
      <w:pPr>
        <w:pStyle w:val="ListParagraph"/>
        <w:numPr>
          <w:ilvl w:val="0"/>
          <w:numId w:val="20"/>
        </w:numPr>
        <w:tabs>
          <w:tab w:val="left" w:pos="819"/>
          <w:tab w:val="left" w:pos="820"/>
        </w:tabs>
        <w:spacing w:after="80"/>
        <w:ind w:left="360"/>
        <w:contextualSpacing w:val="0"/>
        <w:jc w:val="both"/>
        <w:rPr>
          <w:b/>
        </w:rPr>
      </w:pPr>
      <w:r w:rsidRPr="009539B6">
        <w:rPr>
          <w:b/>
        </w:rPr>
        <w:t>The Company has filed all periodic and timely disclosure documents that it is required to have</w:t>
      </w:r>
      <w:r w:rsidRPr="009539B6">
        <w:rPr>
          <w:b/>
          <w:spacing w:val="-28"/>
        </w:rPr>
        <w:t xml:space="preserve"> </w:t>
      </w:r>
      <w:r w:rsidRPr="009539B6">
        <w:rPr>
          <w:b/>
        </w:rPr>
        <w:t>filed</w:t>
      </w:r>
      <w:r w:rsidR="00D779E9">
        <w:rPr>
          <w:b/>
        </w:rPr>
        <w:t>.</w:t>
      </w:r>
    </w:p>
    <w:p w:rsidRPr="009539B6" w:rsidR="00837737" w:rsidP="002E20F6" w:rsidRDefault="00837737" w14:paraId="16FDFE12" w14:textId="60D09605">
      <w:pPr>
        <w:pStyle w:val="ListParagraph"/>
        <w:numPr>
          <w:ilvl w:val="0"/>
          <w:numId w:val="20"/>
        </w:numPr>
        <w:tabs>
          <w:tab w:val="left" w:pos="819"/>
          <w:tab w:val="left" w:pos="820"/>
        </w:tabs>
        <w:spacing w:after="80"/>
        <w:ind w:left="360"/>
        <w:contextualSpacing w:val="0"/>
        <w:jc w:val="both"/>
        <w:rPr>
          <w:b/>
        </w:rPr>
      </w:pPr>
      <w:r w:rsidRPr="00837737">
        <w:rPr>
          <w:b/>
        </w:rPr>
        <w:t>The Company is relying on the exemptions in Coordinated Blanket Order 45-935 –</w:t>
      </w:r>
      <w:r>
        <w:rPr>
          <w:b/>
        </w:rPr>
        <w:t xml:space="preserve"> </w:t>
      </w:r>
      <w:r w:rsidRPr="00E3608B">
        <w:rPr>
          <w:b/>
          <w:i/>
          <w:iCs/>
        </w:rPr>
        <w:t>Exemptions from Certain Conditions of the Listed Issuer Financing Exemption</w:t>
      </w:r>
      <w:r w:rsidRPr="00837737">
        <w:rPr>
          <w:b/>
        </w:rPr>
        <w:t xml:space="preserve"> (the “Order”) and is qualified to distribute securities in reliance on the exemptions included in the Order</w:t>
      </w:r>
      <w:r>
        <w:rPr>
          <w:b/>
        </w:rPr>
        <w:t>.</w:t>
      </w:r>
    </w:p>
    <w:p w:rsidRPr="009539B6" w:rsidR="009539B6" w:rsidP="002E20F6" w:rsidRDefault="009539B6" w14:paraId="74ED6139" w14:textId="2F2DDC2E">
      <w:pPr>
        <w:pStyle w:val="ListParagraph"/>
        <w:numPr>
          <w:ilvl w:val="0"/>
          <w:numId w:val="20"/>
        </w:numPr>
        <w:tabs>
          <w:tab w:val="left" w:pos="820"/>
        </w:tabs>
        <w:spacing w:after="80"/>
        <w:ind w:left="360"/>
        <w:contextualSpacing w:val="0"/>
        <w:jc w:val="both"/>
        <w:rPr>
          <w:b/>
        </w:rPr>
      </w:pPr>
      <w:r w:rsidRPr="009539B6">
        <w:rPr>
          <w:b/>
        </w:rPr>
        <w:t>The total dollar amount of this Offering, in combination with the dollar amount of all other offerings made</w:t>
      </w:r>
      <w:r w:rsidRPr="009539B6">
        <w:rPr>
          <w:b/>
          <w:spacing w:val="-3"/>
        </w:rPr>
        <w:t xml:space="preserve"> </w:t>
      </w:r>
      <w:r w:rsidRPr="009539B6">
        <w:rPr>
          <w:b/>
        </w:rPr>
        <w:t>under</w:t>
      </w:r>
      <w:r w:rsidRPr="009539B6">
        <w:rPr>
          <w:b/>
          <w:spacing w:val="-4"/>
        </w:rPr>
        <w:t xml:space="preserve"> </w:t>
      </w:r>
      <w:r w:rsidRPr="009539B6">
        <w:rPr>
          <w:b/>
        </w:rPr>
        <w:t>the</w:t>
      </w:r>
      <w:r w:rsidRPr="009539B6">
        <w:rPr>
          <w:b/>
          <w:spacing w:val="-5"/>
        </w:rPr>
        <w:t xml:space="preserve"> </w:t>
      </w:r>
      <w:r w:rsidRPr="009539B6">
        <w:rPr>
          <w:b/>
        </w:rPr>
        <w:t>listed</w:t>
      </w:r>
      <w:r w:rsidRPr="009539B6">
        <w:rPr>
          <w:b/>
          <w:spacing w:val="-5"/>
        </w:rPr>
        <w:t xml:space="preserve"> </w:t>
      </w:r>
      <w:r w:rsidRPr="009539B6">
        <w:rPr>
          <w:b/>
        </w:rPr>
        <w:t>issuer</w:t>
      </w:r>
      <w:r w:rsidRPr="009539B6">
        <w:rPr>
          <w:b/>
          <w:spacing w:val="-2"/>
        </w:rPr>
        <w:t xml:space="preserve"> </w:t>
      </w:r>
      <w:r w:rsidRPr="009539B6">
        <w:rPr>
          <w:b/>
        </w:rPr>
        <w:t>financing</w:t>
      </w:r>
      <w:r w:rsidRPr="009539B6">
        <w:rPr>
          <w:b/>
          <w:spacing w:val="-3"/>
        </w:rPr>
        <w:t xml:space="preserve"> </w:t>
      </w:r>
      <w:r w:rsidRPr="009539B6">
        <w:rPr>
          <w:b/>
        </w:rPr>
        <w:t>exemption</w:t>
      </w:r>
      <w:r w:rsidRPr="009539B6">
        <w:rPr>
          <w:b/>
          <w:spacing w:val="-5"/>
        </w:rPr>
        <w:t xml:space="preserve"> </w:t>
      </w:r>
      <w:r w:rsidR="0034467C">
        <w:rPr>
          <w:b/>
          <w:spacing w:val="-5"/>
        </w:rPr>
        <w:t xml:space="preserve">and under the Order </w:t>
      </w:r>
      <w:r w:rsidRPr="009539B6">
        <w:rPr>
          <w:b/>
        </w:rPr>
        <w:t>in</w:t>
      </w:r>
      <w:r w:rsidRPr="009539B6">
        <w:rPr>
          <w:b/>
          <w:spacing w:val="-6"/>
        </w:rPr>
        <w:t xml:space="preserve"> </w:t>
      </w:r>
      <w:r w:rsidRPr="009539B6">
        <w:rPr>
          <w:b/>
        </w:rPr>
        <w:t>the</w:t>
      </w:r>
      <w:r w:rsidRPr="009539B6">
        <w:rPr>
          <w:b/>
          <w:spacing w:val="-4"/>
        </w:rPr>
        <w:t xml:space="preserve"> </w:t>
      </w:r>
      <w:r w:rsidRPr="009539B6">
        <w:rPr>
          <w:b/>
        </w:rPr>
        <w:t>12</w:t>
      </w:r>
      <w:r w:rsidRPr="009539B6">
        <w:rPr>
          <w:b/>
          <w:spacing w:val="-1"/>
        </w:rPr>
        <w:t xml:space="preserve"> </w:t>
      </w:r>
      <w:r w:rsidRPr="009539B6">
        <w:rPr>
          <w:b/>
        </w:rPr>
        <w:t>months</w:t>
      </w:r>
      <w:r w:rsidRPr="009539B6">
        <w:rPr>
          <w:b/>
          <w:spacing w:val="-6"/>
        </w:rPr>
        <w:t xml:space="preserve"> </w:t>
      </w:r>
      <w:r w:rsidRPr="009539B6">
        <w:rPr>
          <w:b/>
        </w:rPr>
        <w:t>immediately</w:t>
      </w:r>
      <w:r w:rsidRPr="009539B6">
        <w:rPr>
          <w:b/>
          <w:spacing w:val="-3"/>
        </w:rPr>
        <w:t xml:space="preserve"> </w:t>
      </w:r>
      <w:r w:rsidRPr="009539B6">
        <w:rPr>
          <w:b/>
        </w:rPr>
        <w:t>before</w:t>
      </w:r>
      <w:r w:rsidRPr="009539B6">
        <w:rPr>
          <w:b/>
          <w:spacing w:val="-5"/>
        </w:rPr>
        <w:t xml:space="preserve"> </w:t>
      </w:r>
      <w:r w:rsidRPr="009539B6">
        <w:rPr>
          <w:b/>
        </w:rPr>
        <w:t>the</w:t>
      </w:r>
      <w:r w:rsidRPr="009539B6">
        <w:rPr>
          <w:b/>
          <w:spacing w:val="-4"/>
        </w:rPr>
        <w:t xml:space="preserve"> </w:t>
      </w:r>
      <w:r w:rsidRPr="009539B6">
        <w:rPr>
          <w:b/>
        </w:rPr>
        <w:t>date</w:t>
      </w:r>
      <w:r w:rsidRPr="009539B6">
        <w:rPr>
          <w:b/>
          <w:spacing w:val="-4"/>
        </w:rPr>
        <w:t xml:space="preserve"> </w:t>
      </w:r>
      <w:r w:rsidRPr="009539B6">
        <w:rPr>
          <w:b/>
        </w:rPr>
        <w:t>of</w:t>
      </w:r>
      <w:r w:rsidRPr="009539B6">
        <w:rPr>
          <w:b/>
          <w:spacing w:val="-5"/>
        </w:rPr>
        <w:t xml:space="preserve"> </w:t>
      </w:r>
      <w:r w:rsidRPr="009539B6">
        <w:rPr>
          <w:b/>
        </w:rPr>
        <w:t xml:space="preserve">this offering document, will not </w:t>
      </w:r>
      <w:r w:rsidRPr="002A3E85">
        <w:rPr>
          <w:b/>
        </w:rPr>
        <w:t>exceed</w:t>
      </w:r>
      <w:r w:rsidRPr="002A3E85">
        <w:rPr>
          <w:b/>
          <w:spacing w:val="1"/>
        </w:rPr>
        <w:t xml:space="preserve"> </w:t>
      </w:r>
      <w:r w:rsidRPr="002A3E85">
        <w:rPr>
          <w:b/>
        </w:rPr>
        <w:t>$</w:t>
      </w:r>
      <w:r w:rsidR="00245FF3">
        <w:rPr>
          <w:b/>
        </w:rPr>
        <w:t>25,000,000</w:t>
      </w:r>
      <w:r w:rsidR="00A543C0">
        <w:rPr>
          <w:b/>
        </w:rPr>
        <w:t>.</w:t>
      </w:r>
    </w:p>
    <w:p w:rsidRPr="009539B6" w:rsidR="009539B6" w:rsidP="002E20F6" w:rsidRDefault="009539B6" w14:paraId="51B7BAB9" w14:textId="67E9A3C7">
      <w:pPr>
        <w:pStyle w:val="ListParagraph"/>
        <w:numPr>
          <w:ilvl w:val="0"/>
          <w:numId w:val="20"/>
        </w:numPr>
        <w:tabs>
          <w:tab w:val="left" w:pos="820"/>
        </w:tabs>
        <w:spacing w:after="80"/>
        <w:ind w:left="360"/>
        <w:contextualSpacing w:val="0"/>
        <w:jc w:val="both"/>
        <w:rPr>
          <w:b/>
        </w:rPr>
      </w:pPr>
      <w:r w:rsidRPr="009539B6">
        <w:rPr>
          <w:b/>
        </w:rPr>
        <w:t>The Company will not close this Offering unless the Company reasonably believes it has raised sufficient funds to meet its business objectives and liquidity requirements for a period of 12 months following the distributio</w:t>
      </w:r>
      <w:r w:rsidR="00D779E9">
        <w:rPr>
          <w:b/>
        </w:rPr>
        <w:t>n.</w:t>
      </w:r>
    </w:p>
    <w:p w:rsidRPr="009539B6" w:rsidR="009539B6" w:rsidP="002E20F6" w:rsidRDefault="009539B6" w14:paraId="10831E28" w14:textId="77777777">
      <w:pPr>
        <w:pStyle w:val="ListParagraph"/>
        <w:numPr>
          <w:ilvl w:val="0"/>
          <w:numId w:val="20"/>
        </w:numPr>
        <w:tabs>
          <w:tab w:val="left" w:pos="820"/>
        </w:tabs>
        <w:ind w:left="360"/>
        <w:contextualSpacing w:val="0"/>
        <w:jc w:val="both"/>
        <w:rPr>
          <w:b/>
        </w:rPr>
      </w:pPr>
      <w:r w:rsidRPr="009539B6">
        <w:rPr>
          <w:b/>
        </w:rPr>
        <w:t>The Company will not allocate the available funds from this Offering to an acquisition that is a significant</w:t>
      </w:r>
      <w:r w:rsidRPr="009539B6">
        <w:rPr>
          <w:b/>
          <w:spacing w:val="-9"/>
        </w:rPr>
        <w:t xml:space="preserve"> </w:t>
      </w:r>
      <w:r w:rsidRPr="009539B6">
        <w:rPr>
          <w:b/>
        </w:rPr>
        <w:t>acquisition</w:t>
      </w:r>
      <w:r w:rsidRPr="009539B6">
        <w:rPr>
          <w:b/>
          <w:spacing w:val="-11"/>
        </w:rPr>
        <w:t xml:space="preserve"> </w:t>
      </w:r>
      <w:r w:rsidRPr="009539B6">
        <w:rPr>
          <w:b/>
        </w:rPr>
        <w:t>or</w:t>
      </w:r>
      <w:r w:rsidRPr="009539B6">
        <w:rPr>
          <w:b/>
          <w:spacing w:val="-10"/>
        </w:rPr>
        <w:t xml:space="preserve"> </w:t>
      </w:r>
      <w:r w:rsidRPr="009539B6">
        <w:rPr>
          <w:b/>
        </w:rPr>
        <w:t>restructuring</w:t>
      </w:r>
      <w:r w:rsidRPr="009539B6">
        <w:rPr>
          <w:b/>
          <w:spacing w:val="-9"/>
        </w:rPr>
        <w:t xml:space="preserve"> </w:t>
      </w:r>
      <w:r w:rsidRPr="009539B6">
        <w:rPr>
          <w:b/>
        </w:rPr>
        <w:t>transaction</w:t>
      </w:r>
      <w:r w:rsidRPr="009539B6">
        <w:rPr>
          <w:b/>
          <w:spacing w:val="-11"/>
        </w:rPr>
        <w:t xml:space="preserve"> </w:t>
      </w:r>
      <w:r w:rsidRPr="009539B6">
        <w:rPr>
          <w:b/>
        </w:rPr>
        <w:t>under</w:t>
      </w:r>
      <w:r w:rsidRPr="009539B6">
        <w:rPr>
          <w:b/>
          <w:spacing w:val="-8"/>
        </w:rPr>
        <w:t xml:space="preserve"> </w:t>
      </w:r>
      <w:r w:rsidRPr="009539B6">
        <w:rPr>
          <w:b/>
        </w:rPr>
        <w:t>securities</w:t>
      </w:r>
      <w:r w:rsidRPr="009539B6">
        <w:rPr>
          <w:b/>
          <w:spacing w:val="-10"/>
        </w:rPr>
        <w:t xml:space="preserve"> </w:t>
      </w:r>
      <w:r w:rsidRPr="009539B6">
        <w:rPr>
          <w:b/>
        </w:rPr>
        <w:t>law</w:t>
      </w:r>
      <w:r w:rsidRPr="009539B6">
        <w:rPr>
          <w:b/>
          <w:spacing w:val="-8"/>
        </w:rPr>
        <w:t xml:space="preserve"> </w:t>
      </w:r>
      <w:r w:rsidRPr="009539B6">
        <w:rPr>
          <w:b/>
        </w:rPr>
        <w:t>or</w:t>
      </w:r>
      <w:r w:rsidRPr="009539B6">
        <w:rPr>
          <w:b/>
          <w:spacing w:val="-10"/>
        </w:rPr>
        <w:t xml:space="preserve"> </w:t>
      </w:r>
      <w:r w:rsidRPr="009539B6">
        <w:rPr>
          <w:b/>
        </w:rPr>
        <w:t>to</w:t>
      </w:r>
      <w:r w:rsidRPr="009539B6">
        <w:rPr>
          <w:b/>
          <w:spacing w:val="-9"/>
        </w:rPr>
        <w:t xml:space="preserve"> </w:t>
      </w:r>
      <w:r w:rsidRPr="009539B6">
        <w:rPr>
          <w:b/>
        </w:rPr>
        <w:t>any</w:t>
      </w:r>
      <w:r w:rsidRPr="009539B6">
        <w:rPr>
          <w:b/>
          <w:spacing w:val="-9"/>
        </w:rPr>
        <w:t xml:space="preserve"> </w:t>
      </w:r>
      <w:r w:rsidRPr="009539B6">
        <w:rPr>
          <w:b/>
        </w:rPr>
        <w:t>other</w:t>
      </w:r>
      <w:r w:rsidRPr="009539B6">
        <w:rPr>
          <w:b/>
          <w:spacing w:val="-10"/>
        </w:rPr>
        <w:t xml:space="preserve"> </w:t>
      </w:r>
      <w:r w:rsidRPr="009539B6">
        <w:rPr>
          <w:b/>
        </w:rPr>
        <w:t>transaction</w:t>
      </w:r>
      <w:r w:rsidRPr="009539B6">
        <w:rPr>
          <w:b/>
          <w:spacing w:val="-11"/>
        </w:rPr>
        <w:t xml:space="preserve"> </w:t>
      </w:r>
      <w:r w:rsidRPr="009539B6">
        <w:rPr>
          <w:b/>
        </w:rPr>
        <w:t>for which the issuer seeks security holder approval.</w:t>
      </w:r>
    </w:p>
    <w:p w:rsidR="006C4EA0" w:rsidRDefault="006C4EA0" w14:paraId="0076999D" w14:textId="23CAEFC9">
      <w:pPr>
        <w:widowControl/>
        <w:autoSpaceDE/>
        <w:autoSpaceDN/>
        <w:spacing w:after="160" w:line="259" w:lineRule="auto"/>
        <w:rPr>
          <w:b/>
        </w:rPr>
      </w:pPr>
    </w:p>
    <w:p w:rsidR="00837737" w:rsidRDefault="00837737" w14:paraId="4D553829" w14:textId="31756A2A">
      <w:pPr>
        <w:widowControl/>
        <w:autoSpaceDE/>
        <w:autoSpaceDN/>
        <w:spacing w:after="160" w:line="259" w:lineRule="auto"/>
        <w:rPr>
          <w:b/>
        </w:rPr>
      </w:pPr>
      <w:r w:rsidRPr="00837737">
        <w:rPr>
          <w:b/>
        </w:rPr>
        <w:t xml:space="preserve">Currency </w:t>
      </w:r>
    </w:p>
    <w:p w:rsidRPr="00E3608B" w:rsidR="00572F3F" w:rsidRDefault="00837737" w14:paraId="11289AEF" w14:textId="5B70040D">
      <w:pPr>
        <w:widowControl/>
        <w:autoSpaceDE/>
        <w:autoSpaceDN/>
        <w:spacing w:after="160" w:line="259" w:lineRule="auto"/>
        <w:rPr>
          <w:bCs/>
        </w:rPr>
      </w:pPr>
      <w:r w:rsidRPr="00E3608B">
        <w:rPr>
          <w:bCs/>
        </w:rPr>
        <w:t>Unless otherwise indicated, all references to “$”, “C$” or “dollars” in this offering document refer to Canadian dollars.</w:t>
      </w:r>
    </w:p>
    <w:p w:rsidR="00056E8A" w:rsidP="002E20F6" w:rsidRDefault="00056E8A" w14:paraId="0BD8ED95" w14:textId="77777777">
      <w:pPr>
        <w:pStyle w:val="BodyText"/>
        <w:spacing w:before="1"/>
        <w:rPr>
          <w:b/>
        </w:rPr>
      </w:pPr>
    </w:p>
    <w:p w:rsidR="00056E8A" w:rsidP="002E20F6" w:rsidRDefault="00056E8A" w14:paraId="73F00C6C" w14:textId="77777777">
      <w:pPr>
        <w:pStyle w:val="BodyText"/>
        <w:spacing w:before="1"/>
        <w:rPr>
          <w:b/>
        </w:rPr>
      </w:pPr>
    </w:p>
    <w:p w:rsidRPr="009539B6" w:rsidR="009539B6" w:rsidP="002E20F6" w:rsidRDefault="009539B6" w14:paraId="5DCC715A" w14:textId="1C1F32E4">
      <w:pPr>
        <w:pStyle w:val="BodyText"/>
        <w:spacing w:before="1"/>
        <w:rPr>
          <w:b/>
        </w:rPr>
      </w:pPr>
      <w:r w:rsidRPr="009539B6">
        <w:rPr>
          <w:b/>
        </w:rPr>
        <w:lastRenderedPageBreak/>
        <w:t>Cautionary Statement Regarding Forward-Looking Information</w:t>
      </w:r>
    </w:p>
    <w:p w:rsidRPr="009539B6" w:rsidR="009539B6" w:rsidP="002E20F6" w:rsidRDefault="009539B6" w14:paraId="0725822F" w14:textId="77777777">
      <w:pPr>
        <w:pStyle w:val="BodyText"/>
        <w:spacing w:before="1"/>
        <w:rPr>
          <w:b/>
          <w:bCs/>
        </w:rPr>
      </w:pPr>
    </w:p>
    <w:p w:rsidRPr="00E83A1A" w:rsidR="00D779E9" w:rsidP="00D779E9" w:rsidRDefault="00D779E9" w14:paraId="6C481D89" w14:textId="44E624BA">
      <w:pPr>
        <w:jc w:val="both"/>
        <w:rPr>
          <w:rFonts w:cstheme="minorHAnsi"/>
        </w:rPr>
      </w:pPr>
      <w:r w:rsidRPr="00E83A1A">
        <w:rPr>
          <w:rFonts w:cstheme="minorHAnsi"/>
        </w:rPr>
        <w:t>This offering document contains “forward-looking information” within the meaning of applicable Canadian and United States securities laws, which is based upon the Company’s current internal expectations, estimates, projections, assumptions and beliefs. The forward-looking information included in this offering document are made only as of the date of this offering document. Such forward-looking statements and forward-looking information include, but are not limited to, statements concerning future exploration and development plans at the Company’s mineral properties, including development timelines and anticipated costs; the Company’s expectations with respect to the use of proceeds and the use of the available funds following completion of the Offering;</w:t>
      </w:r>
      <w:r w:rsidR="00DB2268">
        <w:rPr>
          <w:rFonts w:cstheme="minorHAnsi"/>
        </w:rPr>
        <w:t xml:space="preserve"> the payment of finder’s fees</w:t>
      </w:r>
      <w:r w:rsidRPr="00E83A1A">
        <w:rPr>
          <w:rFonts w:cstheme="minorHAnsi"/>
        </w:rPr>
        <w:t xml:space="preserve"> and completion of the Offering and the date of such completion. Forward-looking statements or forward-looking information relate to future events and future performance and include statements regarding the expectations and beliefs of management based on information currently available to the Company. Such forward-looking statements and forward-looking information often, but not always, can be identified by the use of words such as “plans”, “expects”, “potential”, “is expected”, “anticipated”, “is targeted”, “budget”, “scheduled”, “estimates”, “forecasts”, “intends”, “anticipates”, or “believes” or the negatives thereof or variations of such words and phrases or statements that certain actions, events or results “may”, “could”, “would”, “might” or “will” be taken, occur or be achieved. </w:t>
      </w:r>
    </w:p>
    <w:p w:rsidRPr="00E83A1A" w:rsidR="00D779E9" w:rsidP="00D779E9" w:rsidRDefault="00D779E9" w14:paraId="25A1EFDB" w14:textId="77777777">
      <w:pPr>
        <w:jc w:val="both"/>
        <w:rPr>
          <w:rFonts w:cstheme="minorHAnsi"/>
        </w:rPr>
      </w:pPr>
    </w:p>
    <w:p w:rsidRPr="00E83A1A" w:rsidR="00D779E9" w:rsidP="00D779E9" w:rsidRDefault="00D779E9" w14:paraId="507B6B5D" w14:textId="3B3E43DF">
      <w:pPr>
        <w:jc w:val="both"/>
        <w:rPr>
          <w:rFonts w:cstheme="minorHAnsi"/>
        </w:rPr>
      </w:pPr>
      <w:r w:rsidRPr="00E83A1A">
        <w:rPr>
          <w:rFonts w:cstheme="minorHAnsi"/>
        </w:rPr>
        <w:t xml:space="preserve">Forward-looking statements or forward-looking information are subject to a variety of risks and uncertainties which could cause actual events or results to differ materially from those reflected in the forward-looking statements or forward-looking information, including, without limitation, risks and uncertainties relating to: general business and economic conditions; regulatory approval for the Offering; completion of the Offering; changes in commodity prices; the supply and demand for, deliveries of, and the level and volatility of the price of </w:t>
      </w:r>
      <w:r w:rsidRPr="00E83A1A" w:rsidR="006A0FEB">
        <w:rPr>
          <w:rFonts w:cstheme="minorHAnsi"/>
        </w:rPr>
        <w:t>uranium</w:t>
      </w:r>
      <w:r w:rsidRPr="00E83A1A">
        <w:rPr>
          <w:rFonts w:cstheme="minorHAnsi"/>
        </w:rPr>
        <w:t>; changes in project parameters as exploration plans continue to be refined; costs of exploration and development, including labour and equipment costs; risks and uncertainties related to the ability to obtain or maintain necessary licenses, permits or surface rights; changes in credit market conditions and conditions in financial markets generally; the ability to procure equipment and operating supplies in sufficient quantities and on a timely basis; the availability of qualified employees and contractors; the impact of value of the Canadian dollar and U.S. dollar, foreign exchange rates on costs and financial results; market competition; changes in taxation rates or policies; technical difficulties in connection with mining activities; changes in environmental regulation; environmental compliance issues; and other risks of the mining industry. Should one or more of these risks and uncertainties materialize, or should underlying assumptions prove incorrect, actual results may vary materially from those described in forward-looking statements or forward-looking information. Although the Company has attempted to identify important factors that could cause actual results to differ materially, there may be other factors that could cause results not to be as anticipated, estimated or intended. For more information on the Company and the risks and challenges of its business, investors should review the Company’s annual filings that are available at www.sedar</w:t>
      </w:r>
      <w:r w:rsidRPr="00E83A1A" w:rsidR="00603F30">
        <w:rPr>
          <w:rFonts w:cstheme="minorHAnsi"/>
        </w:rPr>
        <w:t>plus</w:t>
      </w:r>
      <w:r w:rsidRPr="00E83A1A">
        <w:rPr>
          <w:rFonts w:cstheme="minorHAnsi"/>
        </w:rPr>
        <w:t>.com. The Company provides no assurance that forward-looking statements or forward-looking information will prove to be accurate, as actual results and future events could differ materially from those anticipated in such statements and information. Accordingly, readers should not place undue reliance on forward-looking statements and forward-looking information. Any forward-looking statement speaks only as of the date on which it is made and, except as may be required by applicable securities laws, the Company disclaims any intent or obligation to update any forward-looking information, whether as a result of new information, changing circumstances, or otherwise.</w:t>
      </w:r>
    </w:p>
    <w:p w:rsidRPr="009539B6" w:rsidR="009539B6" w:rsidP="00572F3F" w:rsidRDefault="00572F3F" w14:paraId="0C6687CB" w14:textId="54742FFE">
      <w:pPr>
        <w:widowControl/>
        <w:autoSpaceDE/>
        <w:autoSpaceDN/>
        <w:spacing w:after="160" w:line="259" w:lineRule="auto"/>
      </w:pPr>
      <w:r>
        <w:br w:type="page"/>
      </w:r>
    </w:p>
    <w:p w:rsidRPr="00422514" w:rsidR="009539B6" w:rsidP="003007E5" w:rsidRDefault="009539B6" w14:paraId="45AD0FCC" w14:textId="75926EF8">
      <w:pPr>
        <w:pStyle w:val="Heading1"/>
        <w:keepNext/>
        <w:numPr>
          <w:ilvl w:val="0"/>
          <w:numId w:val="0"/>
        </w:numPr>
        <w:spacing w:before="0"/>
        <w:jc w:val="left"/>
        <w:rPr>
          <w:rFonts w:cs="Times New Roman"/>
          <w:b/>
          <w:bCs w:val="0"/>
          <w:szCs w:val="22"/>
        </w:rPr>
      </w:pPr>
      <w:r w:rsidRPr="00422514">
        <w:rPr>
          <w:rFonts w:cs="Times New Roman"/>
          <w:b/>
          <w:bCs w:val="0"/>
          <w:szCs w:val="22"/>
        </w:rPr>
        <w:lastRenderedPageBreak/>
        <w:t>PART 2</w:t>
      </w:r>
      <w:r w:rsidRPr="00422514">
        <w:rPr>
          <w:rFonts w:cs="Times New Roman"/>
          <w:b/>
          <w:bCs w:val="0"/>
          <w:szCs w:val="22"/>
        </w:rPr>
        <w:tab/>
        <w:t>SUMMARY DESCRIPTION OF BUSINESS</w:t>
      </w:r>
    </w:p>
    <w:p w:rsidRPr="002E20F6" w:rsidR="009539B6" w:rsidP="003007E5" w:rsidRDefault="009539B6" w14:paraId="169618E6" w14:textId="0DB82565">
      <w:pPr>
        <w:pStyle w:val="Heading1"/>
        <w:keepNext/>
        <w:numPr>
          <w:ilvl w:val="0"/>
          <w:numId w:val="0"/>
        </w:numPr>
        <w:jc w:val="left"/>
        <w:rPr>
          <w:rFonts w:cs="Times New Roman"/>
          <w:b/>
          <w:bCs w:val="0"/>
          <w:szCs w:val="22"/>
        </w:rPr>
      </w:pPr>
      <w:r w:rsidRPr="002E20F6">
        <w:rPr>
          <w:rFonts w:cs="Times New Roman"/>
          <w:b/>
          <w:bCs w:val="0"/>
          <w:szCs w:val="22"/>
        </w:rPr>
        <w:t>What is our business?</w:t>
      </w:r>
    </w:p>
    <w:p w:rsidR="00A552D0" w:rsidP="009B2A4E" w:rsidRDefault="00A552D0" w14:paraId="541E17A3" w14:textId="77777777">
      <w:pPr>
        <w:pStyle w:val="Heading1"/>
        <w:numPr>
          <w:ilvl w:val="0"/>
          <w:numId w:val="0"/>
        </w:numPr>
        <w:spacing w:before="0"/>
        <w:rPr>
          <w:rFonts w:cs="Times New Roman"/>
          <w:bCs w:val="0"/>
          <w:szCs w:val="22"/>
        </w:rPr>
      </w:pPr>
    </w:p>
    <w:p w:rsidR="009B2A4E" w:rsidP="009B2A4E" w:rsidRDefault="00A552D0" w14:paraId="3F36CF28" w14:textId="0D8281F1">
      <w:pPr>
        <w:pStyle w:val="Heading1"/>
        <w:numPr>
          <w:ilvl w:val="0"/>
          <w:numId w:val="0"/>
        </w:numPr>
        <w:spacing w:before="0"/>
        <w:rPr>
          <w:rFonts w:cs="Times New Roman"/>
          <w:bCs w:val="0"/>
          <w:szCs w:val="22"/>
        </w:rPr>
      </w:pPr>
      <w:r w:rsidRPr="00A552D0">
        <w:rPr>
          <w:rFonts w:cs="Times New Roman"/>
          <w:bCs w:val="0"/>
          <w:szCs w:val="22"/>
        </w:rPr>
        <w:t xml:space="preserve">The </w:t>
      </w:r>
      <w:r>
        <w:rPr>
          <w:rFonts w:cs="Times New Roman"/>
          <w:bCs w:val="0"/>
          <w:szCs w:val="22"/>
        </w:rPr>
        <w:t>Company</w:t>
      </w:r>
      <w:r w:rsidRPr="00A552D0">
        <w:rPr>
          <w:rFonts w:cs="Times New Roman"/>
          <w:bCs w:val="0"/>
          <w:szCs w:val="22"/>
        </w:rPr>
        <w:t xml:space="preserve"> is a Canadian junior mining exploration company. The </w:t>
      </w:r>
      <w:r w:rsidR="00603F30">
        <w:rPr>
          <w:rFonts w:cs="Times New Roman"/>
          <w:bCs w:val="0"/>
          <w:szCs w:val="22"/>
        </w:rPr>
        <w:t>Company</w:t>
      </w:r>
      <w:r w:rsidRPr="00A552D0">
        <w:rPr>
          <w:rFonts w:cs="Times New Roman"/>
          <w:bCs w:val="0"/>
          <w:szCs w:val="22"/>
        </w:rPr>
        <w:t xml:space="preserve"> holds an option to acquire a 100% interest in three uranium exploration properties in the Athabasca basin region, Northern Saskatchewan. </w:t>
      </w:r>
      <w:r w:rsidRPr="00F678AC" w:rsidR="00F678AC">
        <w:rPr>
          <w:rFonts w:cs="Times New Roman"/>
          <w:bCs w:val="0"/>
          <w:szCs w:val="22"/>
        </w:rPr>
        <w:t xml:space="preserve">The project </w:t>
      </w:r>
      <w:r w:rsidR="006C4EA0">
        <w:rPr>
          <w:rFonts w:cs="Times New Roman"/>
          <w:bCs w:val="0"/>
          <w:szCs w:val="22"/>
        </w:rPr>
        <w:t xml:space="preserve">is </w:t>
      </w:r>
      <w:r w:rsidRPr="00BA48EF" w:rsidR="00BA48EF">
        <w:rPr>
          <w:rFonts w:cs="Times New Roman"/>
          <w:bCs w:val="0"/>
          <w:szCs w:val="22"/>
        </w:rPr>
        <w:t xml:space="preserve">known as the </w:t>
      </w:r>
      <w:r w:rsidR="00E83A1A">
        <w:rPr>
          <w:rFonts w:cs="Times New Roman"/>
          <w:bCs w:val="0"/>
          <w:szCs w:val="22"/>
        </w:rPr>
        <w:t>“</w:t>
      </w:r>
      <w:r w:rsidRPr="00E83A1A" w:rsidR="00BA48EF">
        <w:rPr>
          <w:rFonts w:cs="Times New Roman"/>
          <w:b/>
          <w:szCs w:val="22"/>
        </w:rPr>
        <w:t>Wales Lake Property</w:t>
      </w:r>
      <w:r w:rsidR="00E83A1A">
        <w:rPr>
          <w:rFonts w:cs="Times New Roman"/>
          <w:bCs w:val="0"/>
          <w:szCs w:val="22"/>
        </w:rPr>
        <w:t>”</w:t>
      </w:r>
      <w:r w:rsidR="00BA48EF">
        <w:rPr>
          <w:rFonts w:cs="Times New Roman"/>
          <w:bCs w:val="0"/>
          <w:szCs w:val="22"/>
        </w:rPr>
        <w:t xml:space="preserve"> and </w:t>
      </w:r>
      <w:r w:rsidRPr="00F678AC" w:rsidR="00F678AC">
        <w:rPr>
          <w:rFonts w:cs="Times New Roman"/>
          <w:bCs w:val="0"/>
          <w:szCs w:val="22"/>
        </w:rPr>
        <w:t xml:space="preserve">is located near Highway 955 south of Wales Lake and sits just outside the southwest margin of the Athabasca Basin. </w:t>
      </w:r>
    </w:p>
    <w:p w:rsidRPr="009B2A4E" w:rsidR="00A552D0" w:rsidP="009B2A4E" w:rsidRDefault="00A552D0" w14:paraId="6FEC14A5" w14:textId="77777777">
      <w:pPr>
        <w:pStyle w:val="Heading1"/>
        <w:numPr>
          <w:ilvl w:val="0"/>
          <w:numId w:val="0"/>
        </w:numPr>
        <w:spacing w:before="0"/>
        <w:rPr>
          <w:rFonts w:cs="Times New Roman"/>
          <w:bCs w:val="0"/>
          <w:szCs w:val="22"/>
        </w:rPr>
      </w:pPr>
    </w:p>
    <w:p w:rsidRPr="009539B6" w:rsidR="009539B6" w:rsidP="002E20F6" w:rsidRDefault="009539B6" w14:paraId="214BFBEB" w14:textId="77777777">
      <w:pPr>
        <w:pStyle w:val="BodyText"/>
        <w:spacing w:before="2"/>
      </w:pPr>
      <w:r w:rsidRPr="009539B6">
        <w:rPr>
          <w:b/>
          <w:bCs/>
        </w:rPr>
        <w:t>Recent developments</w:t>
      </w:r>
    </w:p>
    <w:p w:rsidR="003045BA" w:rsidP="002E20F6" w:rsidRDefault="003045BA" w14:paraId="5569DBE6" w14:textId="77777777">
      <w:pPr>
        <w:pStyle w:val="BodyText"/>
        <w:spacing w:before="2"/>
        <w:rPr>
          <w:lang w:val="en-CA"/>
        </w:rPr>
      </w:pPr>
    </w:p>
    <w:p w:rsidR="00BC7C6B" w:rsidP="002E20F6" w:rsidRDefault="00BC7C6B" w14:paraId="12E35B0B" w14:textId="7A48C992">
      <w:pPr>
        <w:pStyle w:val="BodyText"/>
        <w:spacing w:before="2"/>
        <w:rPr>
          <w:lang w:val="en-CA"/>
        </w:rPr>
      </w:pPr>
      <w:r>
        <w:rPr>
          <w:lang w:val="en-CA"/>
        </w:rPr>
        <w:t>The following is a brief summary of key recent developments involving or affecting the Company over the past 12 months:</w:t>
      </w:r>
    </w:p>
    <w:p w:rsidR="002E20F6" w:rsidP="002E20F6" w:rsidRDefault="002E20F6" w14:paraId="33E8E8F1" w14:textId="77777777">
      <w:pPr>
        <w:pStyle w:val="BodyText"/>
        <w:spacing w:before="2"/>
        <w:rPr>
          <w:lang w:val="en-CA"/>
        </w:rPr>
      </w:pPr>
    </w:p>
    <w:p w:rsidRPr="00E263BE" w:rsidR="00F37D76" w:rsidP="00BC7C6B" w:rsidRDefault="00F37D76" w14:paraId="4B15D5F8" w14:textId="55EC25FA">
      <w:pPr>
        <w:pStyle w:val="BodyText"/>
        <w:spacing w:before="2"/>
      </w:pPr>
      <w:r>
        <w:t>On December 2</w:t>
      </w:r>
      <w:r w:rsidR="00E263BE">
        <w:t>3</w:t>
      </w:r>
      <w:r>
        <w:t xml:space="preserve">, 2024, the Company </w:t>
      </w:r>
      <w:r w:rsidR="00E263BE">
        <w:t xml:space="preserve">announced that it had </w:t>
      </w:r>
      <w:r>
        <w:t>entered into</w:t>
      </w:r>
      <w:r w:rsidR="00E263BE">
        <w:t xml:space="preserve"> an option agreement</w:t>
      </w:r>
      <w:r w:rsidR="00E3608B">
        <w:t xml:space="preserve"> with arm’s length optionors</w:t>
      </w:r>
      <w:r w:rsidR="00E263BE">
        <w:t>, pursuant to which the Company was granted the option to acquire a 100% interest in two uranium exploration properties in the Athabasca Basin region, northern Saskatchewan in consideration for $11,600 in cash</w:t>
      </w:r>
      <w:r w:rsidR="00FC0AFA">
        <w:t>,</w:t>
      </w:r>
      <w:r w:rsidR="00E263BE">
        <w:t xml:space="preserve"> the issuance of 100,000 </w:t>
      </w:r>
      <w:r w:rsidR="00FC0AFA">
        <w:t>c</w:t>
      </w:r>
      <w:r w:rsidR="00E263BE">
        <w:t xml:space="preserve">ommon </w:t>
      </w:r>
      <w:r w:rsidR="00FC0AFA">
        <w:t>s</w:t>
      </w:r>
      <w:r w:rsidR="00E263BE">
        <w:t xml:space="preserve">hares and the </w:t>
      </w:r>
      <w:r w:rsidR="00FC0AFA">
        <w:t>C</w:t>
      </w:r>
      <w:r w:rsidR="00E263BE">
        <w:t xml:space="preserve">ompany completing a work program on the property to keep the property in good standing. </w:t>
      </w:r>
      <w:r w:rsidRPr="00471DC4" w:rsidR="00E263BE">
        <w:t xml:space="preserve">The </w:t>
      </w:r>
      <w:r w:rsidR="00E263BE">
        <w:t>o</w:t>
      </w:r>
      <w:r w:rsidRPr="00471DC4" w:rsidR="00E263BE">
        <w:t>ptionors retain</w:t>
      </w:r>
      <w:r w:rsidR="00E263BE">
        <w:t>ed</w:t>
      </w:r>
      <w:r w:rsidRPr="00471DC4" w:rsidR="00E263BE">
        <w:t xml:space="preserve"> a 2.5% NSR which can be reduced to 1.5% upon payment of $500,000.</w:t>
      </w:r>
    </w:p>
    <w:p w:rsidR="009539B6" w:rsidP="002E20F6" w:rsidRDefault="009539B6" w14:paraId="30056F05" w14:textId="77777777">
      <w:pPr>
        <w:pStyle w:val="BodyText"/>
        <w:spacing w:before="3"/>
      </w:pPr>
    </w:p>
    <w:p w:rsidR="00A515FC" w:rsidP="002E20F6" w:rsidRDefault="00A515FC" w14:paraId="30843BA6" w14:textId="74B9A594">
      <w:pPr>
        <w:pStyle w:val="BodyText"/>
        <w:spacing w:before="3"/>
      </w:pPr>
      <w:r>
        <w:t xml:space="preserve">On January 16, 2025, the Company </w:t>
      </w:r>
      <w:r w:rsidR="00D827DF">
        <w:t xml:space="preserve">completed a non-brokered private placement LIFE </w:t>
      </w:r>
      <w:r w:rsidRPr="00D827DF" w:rsidR="00D827DF">
        <w:t xml:space="preserve">(listed issuer financing exemption) offering by issuing 4.5 million units at a price of </w:t>
      </w:r>
      <w:r w:rsidR="00D827DF">
        <w:t>$0.15</w:t>
      </w:r>
      <w:r w:rsidRPr="00D827DF" w:rsidR="00D827DF">
        <w:t xml:space="preserve"> per unit for gross proceeds of $675,000.</w:t>
      </w:r>
      <w:r w:rsidR="00D827DF">
        <w:t xml:space="preserve"> </w:t>
      </w:r>
      <w:r w:rsidRPr="00D827DF" w:rsidR="00D827DF">
        <w:t>Each unit consist</w:t>
      </w:r>
      <w:r w:rsidR="00D827DF">
        <w:t>ed</w:t>
      </w:r>
      <w:r w:rsidRPr="00D827DF" w:rsidR="00D827DF">
        <w:t xml:space="preserve"> of one common share and one-half of one transferable common share purchase warrant.</w:t>
      </w:r>
      <w:r w:rsidR="00D827DF">
        <w:t xml:space="preserve"> </w:t>
      </w:r>
      <w:r w:rsidRPr="00D827DF" w:rsidR="00D827DF">
        <w:t xml:space="preserve">Each warrant </w:t>
      </w:r>
      <w:r w:rsidR="00D827DF">
        <w:t xml:space="preserve">is exercisable to acquire one </w:t>
      </w:r>
      <w:r w:rsidRPr="00D827DF" w:rsidR="00D827DF">
        <w:t xml:space="preserve">common share at a price of </w:t>
      </w:r>
      <w:r w:rsidR="00D827DF">
        <w:t>$0.</w:t>
      </w:r>
      <w:r w:rsidRPr="00D827DF" w:rsidR="00D827DF">
        <w:t>25 until Feb</w:t>
      </w:r>
      <w:r w:rsidR="00E3608B">
        <w:t>ruary</w:t>
      </w:r>
      <w:r w:rsidRPr="00D827DF" w:rsidR="00D827DF">
        <w:t>. 28, 2027, subject to acceleration.</w:t>
      </w:r>
    </w:p>
    <w:p w:rsidR="00D827DF" w:rsidP="002E20F6" w:rsidRDefault="00D827DF" w14:paraId="7EDCCBE7" w14:textId="77777777">
      <w:pPr>
        <w:pStyle w:val="BodyText"/>
        <w:spacing w:before="3"/>
      </w:pPr>
    </w:p>
    <w:p w:rsidR="00D827DF" w:rsidP="002E20F6" w:rsidRDefault="00D827DF" w14:paraId="17EA0992" w14:textId="344EB845">
      <w:pPr>
        <w:pStyle w:val="BodyText"/>
        <w:spacing w:before="3"/>
      </w:pPr>
      <w:r>
        <w:t xml:space="preserve">On April 11, 2025, the Company granted an aggregate of 1.56 million stock options to </w:t>
      </w:r>
      <w:r w:rsidRPr="00D827DF">
        <w:t xml:space="preserve">certain directors and executive officers of the company pursuant to its omnibus equity incentive plan. The stock options are exercisable at a price of </w:t>
      </w:r>
      <w:r>
        <w:t>$0.</w:t>
      </w:r>
      <w:r w:rsidRPr="00D827DF">
        <w:t>25 per share and expire three years from the date of grant. Fifty per cent of the stock options vested immediately and the remaining 50 per cent vest in one year.</w:t>
      </w:r>
    </w:p>
    <w:p w:rsidR="00A543C0" w:rsidP="002E20F6" w:rsidRDefault="00A543C0" w14:paraId="286736FF" w14:textId="77777777">
      <w:pPr>
        <w:pStyle w:val="BodyText"/>
        <w:spacing w:before="3"/>
      </w:pPr>
    </w:p>
    <w:p w:rsidR="00E33536" w:rsidP="00E33536" w:rsidRDefault="00E33536" w14:paraId="6E65E749" w14:textId="77777777">
      <w:pPr>
        <w:pStyle w:val="BodyText"/>
        <w:spacing w:before="3"/>
      </w:pPr>
      <w:r>
        <w:t xml:space="preserve">On September 2, 2025, the Company granted 100,000 stock options to an arm’s length consultant pursuant to a consulting agreement dated September 2, 2025. </w:t>
      </w:r>
      <w:r w:rsidRPr="00D827DF">
        <w:t xml:space="preserve">The stock options are exercisable at a price of </w:t>
      </w:r>
      <w:r>
        <w:t>$0.</w:t>
      </w:r>
      <w:r w:rsidRPr="00D827DF">
        <w:t xml:space="preserve">25 per share and expire three years from the date of grant. </w:t>
      </w:r>
      <w:r>
        <w:t xml:space="preserve">The stock options vested immediately upon grant. </w:t>
      </w:r>
    </w:p>
    <w:p w:rsidR="00E33536" w:rsidP="002E20F6" w:rsidRDefault="00E33536" w14:paraId="065462FB" w14:textId="77777777">
      <w:pPr>
        <w:pStyle w:val="BodyText"/>
        <w:spacing w:before="3"/>
      </w:pPr>
    </w:p>
    <w:p w:rsidR="00086195" w:rsidP="002E20F6" w:rsidRDefault="00086195" w14:paraId="55980DE9" w14:textId="5E2891A7">
      <w:pPr>
        <w:pStyle w:val="BodyText"/>
        <w:spacing w:before="3"/>
      </w:pPr>
      <w:r>
        <w:t xml:space="preserve">On October 28, 2025, the Company appointed Zachary Chow as director, following the resignation of Gary Claytens as president, CEO and a director. James Casey Forward, CPA, CGA, a director of the Company, assumed the role of president and CEO. </w:t>
      </w:r>
    </w:p>
    <w:p w:rsidR="00BE3DB1" w:rsidP="002E20F6" w:rsidRDefault="00BE3DB1" w14:paraId="4D6B32DF" w14:textId="77777777">
      <w:pPr>
        <w:pStyle w:val="BodyText"/>
        <w:spacing w:before="3"/>
      </w:pPr>
    </w:p>
    <w:p w:rsidR="00BE3DB1" w:rsidP="00BE3DB1" w:rsidRDefault="00BE3DB1" w14:paraId="3234AE65" w14:textId="11C3E86F">
      <w:pPr>
        <w:pStyle w:val="BodyText"/>
        <w:spacing w:before="3"/>
      </w:pPr>
      <w:r>
        <w:t xml:space="preserve">On December </w:t>
      </w:r>
      <w:r w:rsidR="00123658">
        <w:t>9</w:t>
      </w:r>
      <w:r>
        <w:t xml:space="preserve">, 2025, the Company granted </w:t>
      </w:r>
      <w:r w:rsidR="007E0894">
        <w:t xml:space="preserve">an aggregate of </w:t>
      </w:r>
      <w:r>
        <w:t xml:space="preserve">600,000 stock options </w:t>
      </w:r>
      <w:r w:rsidR="007E0894">
        <w:t>and 1,100,000 restricted share units (“</w:t>
      </w:r>
      <w:r w:rsidRPr="005F1587" w:rsidR="007E0894">
        <w:rPr>
          <w:b/>
          <w:bCs/>
        </w:rPr>
        <w:t>RSUs</w:t>
      </w:r>
      <w:r w:rsidR="007E0894">
        <w:t xml:space="preserve">”) </w:t>
      </w:r>
      <w:r>
        <w:t xml:space="preserve">to certain consultants and a director of the Company. </w:t>
      </w:r>
      <w:r w:rsidRPr="00D827DF">
        <w:t xml:space="preserve">The stock options are exercisable at a price of </w:t>
      </w:r>
      <w:r>
        <w:t>$0.</w:t>
      </w:r>
      <w:r w:rsidRPr="00D827DF">
        <w:t xml:space="preserve">25 per share and expire three years from the date of grant. </w:t>
      </w:r>
      <w:r>
        <w:t xml:space="preserve">The stock options </w:t>
      </w:r>
      <w:r w:rsidR="00123658">
        <w:t xml:space="preserve">and RSUs </w:t>
      </w:r>
      <w:r>
        <w:t>vested immediately upon grant.</w:t>
      </w:r>
    </w:p>
    <w:p w:rsidRPr="009539B6" w:rsidR="00D827DF" w:rsidP="002E20F6" w:rsidRDefault="00D827DF" w14:paraId="430A251C" w14:textId="77777777">
      <w:pPr>
        <w:pStyle w:val="BodyText"/>
        <w:spacing w:before="3"/>
      </w:pPr>
    </w:p>
    <w:p w:rsidRPr="009539B6" w:rsidR="009539B6" w:rsidP="003007E5" w:rsidRDefault="009539B6" w14:paraId="5B80F293" w14:textId="77777777">
      <w:pPr>
        <w:pStyle w:val="BodyText"/>
        <w:keepNext/>
        <w:keepLines/>
        <w:spacing w:before="3"/>
        <w:rPr>
          <w:b/>
          <w:bCs/>
        </w:rPr>
      </w:pPr>
      <w:r w:rsidRPr="009539B6">
        <w:rPr>
          <w:b/>
          <w:bCs/>
        </w:rPr>
        <w:lastRenderedPageBreak/>
        <w:t>Material Facts</w:t>
      </w:r>
    </w:p>
    <w:p w:rsidRPr="009539B6" w:rsidR="009539B6" w:rsidP="003007E5" w:rsidRDefault="009539B6" w14:paraId="7CE6D07C" w14:textId="77777777">
      <w:pPr>
        <w:pStyle w:val="BodyText"/>
        <w:keepNext/>
        <w:keepLines/>
        <w:spacing w:before="3"/>
      </w:pPr>
    </w:p>
    <w:p w:rsidRPr="009539B6" w:rsidR="009539B6" w:rsidP="003007E5" w:rsidRDefault="009539B6" w14:paraId="3DD91225" w14:textId="77777777">
      <w:pPr>
        <w:pStyle w:val="BodyText"/>
        <w:keepNext/>
        <w:keepLines/>
        <w:spacing w:before="3"/>
      </w:pPr>
      <w:r w:rsidRPr="009539B6">
        <w:t>There are no material facts about the securities being distributed that have not been disclosed in this offering document or in any other document filed by the Company in the 12 months preceding the date of this offering document.</w:t>
      </w:r>
    </w:p>
    <w:p w:rsidRPr="009539B6" w:rsidR="009539B6" w:rsidP="002E20F6" w:rsidRDefault="009539B6" w14:paraId="4B99DAE6" w14:textId="77777777">
      <w:pPr>
        <w:pStyle w:val="BodyText"/>
        <w:spacing w:before="3"/>
        <w:rPr>
          <w:b/>
          <w:bCs/>
        </w:rPr>
      </w:pPr>
    </w:p>
    <w:p w:rsidRPr="009539B6" w:rsidR="009539B6" w:rsidP="00743A35" w:rsidRDefault="009539B6" w14:paraId="686F9201" w14:textId="0103ED82">
      <w:pPr>
        <w:pStyle w:val="BodyText"/>
        <w:keepNext/>
        <w:spacing w:before="3"/>
        <w:rPr>
          <w:b/>
          <w:bCs/>
        </w:rPr>
      </w:pPr>
      <w:r w:rsidRPr="0079388F">
        <w:rPr>
          <w:b/>
          <w:bCs/>
        </w:rPr>
        <w:t>Business objectives and milestones</w:t>
      </w:r>
      <w:r w:rsidRPr="009539B6">
        <w:rPr>
          <w:b/>
          <w:bCs/>
        </w:rPr>
        <w:t xml:space="preserve"> </w:t>
      </w:r>
    </w:p>
    <w:p w:rsidRPr="009539B6" w:rsidR="009539B6" w:rsidP="00743A35" w:rsidRDefault="009539B6" w14:paraId="1B411226" w14:textId="77777777">
      <w:pPr>
        <w:pStyle w:val="BodyText"/>
        <w:keepNext/>
        <w:spacing w:before="3"/>
        <w:rPr>
          <w:b/>
          <w:bCs/>
        </w:rPr>
      </w:pPr>
    </w:p>
    <w:p w:rsidRPr="009539B6" w:rsidR="009539B6" w:rsidP="00743A35" w:rsidRDefault="009539B6" w14:paraId="2A61F0DB" w14:textId="77777777">
      <w:pPr>
        <w:pStyle w:val="BodyText"/>
        <w:keepNext/>
        <w:spacing w:before="3"/>
        <w:rPr>
          <w:i/>
          <w:iCs/>
        </w:rPr>
      </w:pPr>
      <w:r w:rsidRPr="009539B6">
        <w:rPr>
          <w:b/>
          <w:bCs/>
          <w:i/>
          <w:iCs/>
        </w:rPr>
        <w:t>What are the business objectives that we expect to accomplish using the available funds?</w:t>
      </w:r>
    </w:p>
    <w:p w:rsidR="00305441" w:rsidP="00743A35" w:rsidRDefault="00305441" w14:paraId="17D79610" w14:textId="77777777">
      <w:pPr>
        <w:pStyle w:val="BodyText"/>
        <w:keepNext/>
        <w:spacing w:before="3"/>
        <w:rPr>
          <w:b/>
          <w:bCs/>
        </w:rPr>
      </w:pPr>
    </w:p>
    <w:p w:rsidR="00F678AC" w:rsidP="00743A35" w:rsidRDefault="00F678AC" w14:paraId="6B6F9B0E" w14:textId="7D8EBE78">
      <w:pPr>
        <w:pStyle w:val="BodyText"/>
        <w:keepNext/>
        <w:spacing w:before="3"/>
      </w:pPr>
      <w:r w:rsidRPr="00682C1E">
        <w:t>The Company’s business objectives for the next 12 months are to continue exploration activities at the</w:t>
      </w:r>
      <w:r w:rsidRPr="00682C1E" w:rsidR="00E83A1A">
        <w:t xml:space="preserve"> Wales Lake Property</w:t>
      </w:r>
      <w:r w:rsidRPr="00682C1E">
        <w:t xml:space="preserve">. The </w:t>
      </w:r>
      <w:r w:rsidRPr="00682C1E" w:rsidR="003007E5">
        <w:t>p</w:t>
      </w:r>
      <w:r w:rsidRPr="00682C1E">
        <w:t xml:space="preserve">lanned exploration activities include </w:t>
      </w:r>
      <w:r w:rsidR="005F1587">
        <w:t>preparing a</w:t>
      </w:r>
      <w:r w:rsidRPr="005F1587" w:rsidR="005F1587">
        <w:t xml:space="preserve"> geological profile of the Clearwater and Taltson Domains</w:t>
      </w:r>
      <w:r w:rsidR="005F1587">
        <w:t>,</w:t>
      </w:r>
      <w:r w:rsidRPr="00682C1E" w:rsidR="00D120B4">
        <w:t xml:space="preserve"> fees payable to geologists and geophysicists, fees relating to maps and attachments and all other filing fees and support</w:t>
      </w:r>
      <w:r w:rsidRPr="00682C1E" w:rsidR="003B6A3C">
        <w:t xml:space="preserve">. </w:t>
      </w:r>
      <w:r w:rsidRPr="00682C1E">
        <w:t>There is no significant event that must occur for the business objectives described to be accomplished</w:t>
      </w:r>
      <w:r w:rsidRPr="00F678AC">
        <w:t>.</w:t>
      </w:r>
    </w:p>
    <w:p w:rsidR="006B72DD" w:rsidP="00066A42" w:rsidRDefault="006B72DD" w14:paraId="20B347A2" w14:textId="77777777">
      <w:pPr>
        <w:pStyle w:val="BodyText"/>
        <w:spacing w:before="3"/>
      </w:pPr>
    </w:p>
    <w:tbl>
      <w:tblPr>
        <w:tblStyle w:val="TableGrid"/>
        <w:tblW w:w="0" w:type="auto"/>
        <w:tblInd w:w="108" w:type="dxa"/>
        <w:tblLook w:val="04A0" w:firstRow="1" w:lastRow="0" w:firstColumn="1" w:lastColumn="0" w:noHBand="0" w:noVBand="1"/>
      </w:tblPr>
      <w:tblGrid>
        <w:gridCol w:w="5103"/>
        <w:gridCol w:w="2127"/>
        <w:gridCol w:w="2126"/>
      </w:tblGrid>
      <w:tr w:rsidRPr="006B72DD" w:rsidR="006B72DD" w:rsidTr="00682C1E" w14:paraId="459C0452" w14:textId="77777777">
        <w:tc>
          <w:tcPr>
            <w:tcW w:w="5103" w:type="dxa"/>
            <w:tcBorders>
              <w:bottom w:val="single" w:color="auto" w:sz="4" w:space="0"/>
            </w:tcBorders>
            <w:shd w:val="clear" w:color="auto" w:fill="F2F2F2" w:themeFill="background1" w:themeFillShade="F2"/>
          </w:tcPr>
          <w:p w:rsidRPr="006B72DD" w:rsidR="006B72DD" w:rsidP="006B72DD" w:rsidRDefault="006B72DD" w14:paraId="4A730F09" w14:textId="5EF82CAA">
            <w:pPr>
              <w:pStyle w:val="BodyText"/>
              <w:spacing w:before="3"/>
              <w:jc w:val="center"/>
              <w:rPr>
                <w:b/>
                <w:bCs/>
                <w:sz w:val="22"/>
              </w:rPr>
            </w:pPr>
            <w:r w:rsidRPr="006B72DD">
              <w:rPr>
                <w:b/>
                <w:bCs/>
                <w:sz w:val="22"/>
              </w:rPr>
              <w:t>Business Objective and Milestone</w:t>
            </w:r>
          </w:p>
        </w:tc>
        <w:tc>
          <w:tcPr>
            <w:tcW w:w="2127" w:type="dxa"/>
            <w:tcBorders>
              <w:bottom w:val="single" w:color="auto" w:sz="4" w:space="0"/>
            </w:tcBorders>
            <w:shd w:val="clear" w:color="auto" w:fill="F2F2F2" w:themeFill="background1" w:themeFillShade="F2"/>
          </w:tcPr>
          <w:p w:rsidRPr="006B72DD" w:rsidR="006B72DD" w:rsidP="006B72DD" w:rsidRDefault="006B72DD" w14:paraId="3B1498C6" w14:textId="5D8F62FA">
            <w:pPr>
              <w:pStyle w:val="BodyText"/>
              <w:spacing w:before="3"/>
              <w:jc w:val="center"/>
              <w:rPr>
                <w:b/>
                <w:bCs/>
                <w:sz w:val="22"/>
              </w:rPr>
            </w:pPr>
            <w:r w:rsidRPr="006B72DD">
              <w:rPr>
                <w:b/>
                <w:bCs/>
                <w:sz w:val="22"/>
              </w:rPr>
              <w:t>Target Completion</w:t>
            </w:r>
          </w:p>
        </w:tc>
        <w:tc>
          <w:tcPr>
            <w:tcW w:w="2126" w:type="dxa"/>
            <w:tcBorders>
              <w:bottom w:val="single" w:color="auto" w:sz="4" w:space="0"/>
            </w:tcBorders>
            <w:shd w:val="clear" w:color="auto" w:fill="F2F2F2" w:themeFill="background1" w:themeFillShade="F2"/>
          </w:tcPr>
          <w:p w:rsidRPr="006B72DD" w:rsidR="006B72DD" w:rsidP="006B72DD" w:rsidRDefault="006B72DD" w14:paraId="2035A8DE" w14:textId="4FCA3AA0">
            <w:pPr>
              <w:pStyle w:val="BodyText"/>
              <w:spacing w:before="3"/>
              <w:jc w:val="center"/>
              <w:rPr>
                <w:b/>
                <w:bCs/>
                <w:sz w:val="22"/>
              </w:rPr>
            </w:pPr>
            <w:r w:rsidRPr="006B72DD">
              <w:rPr>
                <w:b/>
                <w:bCs/>
                <w:sz w:val="22"/>
              </w:rPr>
              <w:t>Projected Cost</w:t>
            </w:r>
            <w:r w:rsidR="00F20A43">
              <w:rPr>
                <w:b/>
                <w:bCs/>
                <w:sz w:val="22"/>
              </w:rPr>
              <w:t xml:space="preserve"> Remaining</w:t>
            </w:r>
          </w:p>
        </w:tc>
      </w:tr>
      <w:tr w:rsidRPr="005F1587" w:rsidR="00682C1E" w:rsidTr="00682C1E" w14:paraId="5101518D" w14:textId="77777777">
        <w:trPr>
          <w:trHeight w:val="283"/>
        </w:trPr>
        <w:tc>
          <w:tcPr>
            <w:tcW w:w="5103" w:type="dxa"/>
            <w:tcBorders>
              <w:top w:val="single" w:color="auto" w:sz="4" w:space="0"/>
              <w:bottom w:val="single" w:color="auto" w:sz="4" w:space="0"/>
            </w:tcBorders>
          </w:tcPr>
          <w:p w:rsidRPr="005F1587" w:rsidR="00682C1E" w:rsidP="00682C1E" w:rsidRDefault="00682C1E" w14:paraId="1FF49BCD" w14:textId="3BAA3D37">
            <w:pPr>
              <w:pStyle w:val="BodyText"/>
              <w:spacing w:before="3"/>
              <w:jc w:val="left"/>
              <w:rPr>
                <w:sz w:val="22"/>
              </w:rPr>
            </w:pPr>
            <w:r w:rsidRPr="005F1587">
              <w:rPr>
                <w:sz w:val="22"/>
              </w:rPr>
              <w:t>Complete cash payments under existing property option agreements</w:t>
            </w:r>
          </w:p>
        </w:tc>
        <w:tc>
          <w:tcPr>
            <w:tcW w:w="2127" w:type="dxa"/>
            <w:tcBorders>
              <w:top w:val="single" w:color="auto" w:sz="4" w:space="0"/>
              <w:bottom w:val="single" w:color="auto" w:sz="4" w:space="0"/>
            </w:tcBorders>
          </w:tcPr>
          <w:p w:rsidRPr="005F1587" w:rsidR="00682C1E" w:rsidP="00682C1E" w:rsidRDefault="00682C1E" w14:paraId="0609CD89" w14:textId="0CFB2AA5">
            <w:pPr>
              <w:pStyle w:val="BodyText"/>
              <w:spacing w:before="3"/>
              <w:jc w:val="center"/>
              <w:rPr>
                <w:sz w:val="22"/>
              </w:rPr>
            </w:pPr>
            <w:r w:rsidRPr="005F1587">
              <w:rPr>
                <w:sz w:val="22"/>
              </w:rPr>
              <w:t>Q2 2026</w:t>
            </w:r>
          </w:p>
        </w:tc>
        <w:tc>
          <w:tcPr>
            <w:tcW w:w="2126" w:type="dxa"/>
            <w:tcBorders>
              <w:top w:val="single" w:color="auto" w:sz="4" w:space="0"/>
              <w:bottom w:val="single" w:color="auto" w:sz="4" w:space="0"/>
            </w:tcBorders>
          </w:tcPr>
          <w:p w:rsidRPr="005F1587" w:rsidR="00682C1E" w:rsidP="00682C1E" w:rsidRDefault="00682C1E" w14:paraId="411EADE0" w14:textId="1A9FB03E">
            <w:pPr>
              <w:pStyle w:val="BodyText"/>
              <w:spacing w:before="3"/>
              <w:ind w:right="-100"/>
              <w:jc w:val="center"/>
              <w:rPr>
                <w:sz w:val="22"/>
              </w:rPr>
            </w:pPr>
            <w:r w:rsidRPr="005F1587">
              <w:rPr>
                <w:sz w:val="22"/>
              </w:rPr>
              <w:t>$30,000</w:t>
            </w:r>
          </w:p>
        </w:tc>
      </w:tr>
      <w:tr w:rsidRPr="005F1587" w:rsidR="00305441" w:rsidTr="00682C1E" w14:paraId="1F84DE4D" w14:textId="77777777">
        <w:trPr>
          <w:trHeight w:val="283"/>
        </w:trPr>
        <w:tc>
          <w:tcPr>
            <w:tcW w:w="5103" w:type="dxa"/>
            <w:tcBorders>
              <w:top w:val="single" w:color="auto" w:sz="4" w:space="0"/>
              <w:bottom w:val="single" w:color="auto" w:sz="4" w:space="0"/>
            </w:tcBorders>
          </w:tcPr>
          <w:p w:rsidRPr="005F1587" w:rsidR="00305441" w:rsidP="00682C1E" w:rsidRDefault="00305441" w14:paraId="0EF2071F" w14:textId="2ACC6FC0">
            <w:pPr>
              <w:pStyle w:val="BodyText"/>
              <w:spacing w:before="3"/>
              <w:jc w:val="left"/>
              <w:rPr>
                <w:sz w:val="22"/>
              </w:rPr>
            </w:pPr>
            <w:r w:rsidRPr="005F1587">
              <w:rPr>
                <w:sz w:val="22"/>
              </w:rPr>
              <w:t>Exploration activities at the Wales Lake property</w:t>
            </w:r>
          </w:p>
        </w:tc>
        <w:tc>
          <w:tcPr>
            <w:tcW w:w="2127" w:type="dxa"/>
            <w:tcBorders>
              <w:top w:val="single" w:color="auto" w:sz="4" w:space="0"/>
              <w:bottom w:val="single" w:color="auto" w:sz="4" w:space="0"/>
            </w:tcBorders>
          </w:tcPr>
          <w:p w:rsidRPr="005F1587" w:rsidR="00305441" w:rsidP="00682C1E" w:rsidRDefault="00305441" w14:paraId="7607E04A" w14:textId="3B5859E1">
            <w:pPr>
              <w:pStyle w:val="BodyText"/>
              <w:spacing w:before="3"/>
              <w:jc w:val="center"/>
              <w:rPr>
                <w:sz w:val="22"/>
              </w:rPr>
            </w:pPr>
            <w:r w:rsidRPr="005F1587">
              <w:rPr>
                <w:sz w:val="22"/>
              </w:rPr>
              <w:t>Q4 2026</w:t>
            </w:r>
          </w:p>
        </w:tc>
        <w:tc>
          <w:tcPr>
            <w:tcW w:w="2126" w:type="dxa"/>
            <w:tcBorders>
              <w:top w:val="single" w:color="auto" w:sz="4" w:space="0"/>
              <w:bottom w:val="single" w:color="auto" w:sz="4" w:space="0"/>
            </w:tcBorders>
          </w:tcPr>
          <w:p w:rsidRPr="005F1587" w:rsidR="00305441" w:rsidP="00682C1E" w:rsidRDefault="00305441" w14:paraId="27346148" w14:textId="5097750C">
            <w:pPr>
              <w:pStyle w:val="BodyText"/>
              <w:spacing w:before="3"/>
              <w:ind w:right="-100"/>
              <w:jc w:val="center"/>
              <w:rPr>
                <w:sz w:val="22"/>
              </w:rPr>
            </w:pPr>
            <w:r w:rsidRPr="005F1587">
              <w:rPr>
                <w:sz w:val="22"/>
              </w:rPr>
              <w:t>$25,000</w:t>
            </w:r>
          </w:p>
        </w:tc>
      </w:tr>
    </w:tbl>
    <w:p w:rsidRPr="009539B6" w:rsidR="009539B6" w:rsidP="002E20F6" w:rsidRDefault="009539B6" w14:paraId="611C1591" w14:textId="77777777">
      <w:pPr>
        <w:pStyle w:val="BodyText"/>
        <w:spacing w:before="1"/>
      </w:pPr>
    </w:p>
    <w:p w:rsidRPr="00422514" w:rsidR="009539B6" w:rsidP="002E20F6" w:rsidRDefault="009539B6" w14:paraId="0D74445B" w14:textId="597DF9EC">
      <w:pPr>
        <w:pStyle w:val="BodyText"/>
        <w:spacing w:before="3"/>
        <w:rPr>
          <w:b/>
          <w:bCs/>
        </w:rPr>
      </w:pPr>
      <w:r w:rsidRPr="0079388F">
        <w:rPr>
          <w:b/>
          <w:bCs/>
        </w:rPr>
        <w:t>PART 3</w:t>
      </w:r>
      <w:r w:rsidRPr="0079388F">
        <w:rPr>
          <w:b/>
          <w:bCs/>
        </w:rPr>
        <w:tab/>
        <w:t>USE OF AVAILABLE FUNDS</w:t>
      </w:r>
    </w:p>
    <w:p w:rsidRPr="009539B6" w:rsidR="009539B6" w:rsidP="002E20F6" w:rsidRDefault="009539B6" w14:paraId="406F0105" w14:textId="77777777">
      <w:pPr>
        <w:pStyle w:val="BodyText"/>
        <w:spacing w:before="3"/>
        <w:rPr>
          <w:b/>
          <w:bCs/>
        </w:rPr>
      </w:pPr>
    </w:p>
    <w:p w:rsidRPr="009539B6" w:rsidR="009539B6" w:rsidP="002E20F6" w:rsidRDefault="009539B6" w14:paraId="7D86EBDD" w14:textId="77777777">
      <w:pPr>
        <w:pStyle w:val="BodyText"/>
        <w:spacing w:before="3"/>
        <w:rPr>
          <w:b/>
          <w:bCs/>
          <w:i/>
          <w:iCs/>
          <w:lang w:val="en-CA"/>
        </w:rPr>
      </w:pPr>
      <w:r w:rsidRPr="009539B6">
        <w:rPr>
          <w:b/>
          <w:bCs/>
          <w:i/>
          <w:iCs/>
          <w:lang w:val="en-CA"/>
        </w:rPr>
        <w:t>What will our available funds be upon the closing of the offering?</w:t>
      </w:r>
    </w:p>
    <w:p w:rsidRPr="009539B6" w:rsidR="006A0FEB" w:rsidP="002E20F6" w:rsidRDefault="006A0FEB" w14:paraId="14091526" w14:textId="77777777">
      <w:pPr>
        <w:pStyle w:val="BodyText"/>
        <w:spacing w:before="3"/>
      </w:pPr>
    </w:p>
    <w:p w:rsidR="009539B6" w:rsidP="009B2A4E" w:rsidRDefault="009539B6" w14:paraId="0C13EF6E" w14:textId="75DBC37D">
      <w:pPr>
        <w:pStyle w:val="BodyText"/>
        <w:spacing w:before="3"/>
      </w:pPr>
      <w:r w:rsidRPr="009539B6">
        <w:t>The net proceeds of the Offering and the funds which will be available to the Company after the Offering are as follows:</w:t>
      </w:r>
      <w:r w:rsidR="00066A42">
        <w:t xml:space="preserve"> </w:t>
      </w:r>
    </w:p>
    <w:p w:rsidRPr="009539B6" w:rsidR="009B2A4E" w:rsidP="009B2A4E" w:rsidRDefault="009B2A4E" w14:paraId="6839801D" w14:textId="77777777">
      <w:pPr>
        <w:pStyle w:val="BodyText"/>
        <w:spacing w:before="3"/>
      </w:pPr>
    </w:p>
    <w:tbl>
      <w:tblPr>
        <w:tblStyle w:val="TableGrid"/>
        <w:tblW w:w="9497" w:type="dxa"/>
        <w:tblInd w:w="108" w:type="dxa"/>
        <w:tblLook w:val="04A0" w:firstRow="1" w:lastRow="0" w:firstColumn="1" w:lastColumn="0" w:noHBand="0" w:noVBand="1"/>
      </w:tblPr>
      <w:tblGrid>
        <w:gridCol w:w="420"/>
        <w:gridCol w:w="3691"/>
        <w:gridCol w:w="2693"/>
        <w:gridCol w:w="2693"/>
      </w:tblGrid>
      <w:tr w:rsidRPr="00030FD3" w:rsidR="00807FA2" w:rsidTr="00807FA2" w14:paraId="601B8212" w14:textId="2633377A">
        <w:trPr>
          <w:trHeight w:val="397"/>
        </w:trPr>
        <w:tc>
          <w:tcPr>
            <w:tcW w:w="420" w:type="dxa"/>
            <w:shd w:val="clear" w:color="auto" w:fill="F2F2F2" w:themeFill="background1" w:themeFillShade="F2"/>
          </w:tcPr>
          <w:p w:rsidRPr="009539B6" w:rsidR="00807FA2" w:rsidP="00030FD3" w:rsidRDefault="00807FA2" w14:paraId="73D4F47F" w14:textId="77777777">
            <w:pPr>
              <w:pStyle w:val="BodyText"/>
              <w:rPr>
                <w:b/>
                <w:bCs/>
                <w:sz w:val="22"/>
              </w:rPr>
            </w:pPr>
          </w:p>
        </w:tc>
        <w:tc>
          <w:tcPr>
            <w:tcW w:w="3691" w:type="dxa"/>
            <w:shd w:val="clear" w:color="auto" w:fill="F2F2F2" w:themeFill="background1" w:themeFillShade="F2"/>
          </w:tcPr>
          <w:p w:rsidRPr="009539B6" w:rsidR="00807FA2" w:rsidP="00030FD3" w:rsidRDefault="00807FA2" w14:paraId="4BB4AC6A" w14:textId="5253AD4C">
            <w:pPr>
              <w:pStyle w:val="BodyText"/>
              <w:spacing w:before="120"/>
              <w:jc w:val="center"/>
              <w:rPr>
                <w:b/>
                <w:bCs/>
                <w:sz w:val="22"/>
              </w:rPr>
            </w:pPr>
            <w:r w:rsidRPr="009539B6">
              <w:rPr>
                <w:b/>
                <w:bCs/>
                <w:sz w:val="22"/>
              </w:rPr>
              <w:t>Source of Funds</w:t>
            </w:r>
          </w:p>
        </w:tc>
        <w:tc>
          <w:tcPr>
            <w:tcW w:w="2693" w:type="dxa"/>
            <w:shd w:val="clear" w:color="auto" w:fill="F2F2F2" w:themeFill="background1" w:themeFillShade="F2"/>
          </w:tcPr>
          <w:p w:rsidRPr="00030FD3" w:rsidR="00807FA2" w:rsidP="00030FD3" w:rsidRDefault="00807FA2" w14:paraId="7CBA4C3E" w14:textId="2F208F85">
            <w:pPr>
              <w:pStyle w:val="BodyText"/>
              <w:spacing w:before="120"/>
              <w:jc w:val="center"/>
              <w:rPr>
                <w:b/>
                <w:bCs/>
                <w:sz w:val="22"/>
              </w:rPr>
            </w:pPr>
            <w:r w:rsidRPr="00030FD3">
              <w:rPr>
                <w:b/>
                <w:bCs/>
                <w:sz w:val="22"/>
              </w:rPr>
              <w:t>Assuming the Minimum Offering is Sold</w:t>
            </w:r>
          </w:p>
        </w:tc>
        <w:tc>
          <w:tcPr>
            <w:tcW w:w="2693" w:type="dxa"/>
            <w:shd w:val="clear" w:color="auto" w:fill="F2F2F2" w:themeFill="background1" w:themeFillShade="F2"/>
          </w:tcPr>
          <w:p w:rsidRPr="00030FD3" w:rsidR="00807FA2" w:rsidP="00030FD3" w:rsidRDefault="00807FA2" w14:paraId="15E40CE7" w14:textId="39183929">
            <w:pPr>
              <w:pStyle w:val="BodyText"/>
              <w:spacing w:before="120"/>
              <w:jc w:val="center"/>
              <w:rPr>
                <w:b/>
                <w:bCs/>
                <w:sz w:val="22"/>
              </w:rPr>
            </w:pPr>
            <w:r w:rsidRPr="00030FD3">
              <w:rPr>
                <w:b/>
                <w:bCs/>
                <w:sz w:val="22"/>
              </w:rPr>
              <w:t>Assuming the Maximum Offering is Sold</w:t>
            </w:r>
          </w:p>
        </w:tc>
      </w:tr>
      <w:tr w:rsidRPr="009539B6" w:rsidR="00807FA2" w:rsidTr="00807FA2" w14:paraId="3B5EED4D" w14:textId="68CFBBA1">
        <w:trPr>
          <w:trHeight w:val="397"/>
        </w:trPr>
        <w:tc>
          <w:tcPr>
            <w:tcW w:w="420" w:type="dxa"/>
            <w:vAlign w:val="center"/>
          </w:tcPr>
          <w:p w:rsidRPr="009539B6" w:rsidR="00807FA2" w:rsidP="00030FD3" w:rsidRDefault="00807FA2" w14:paraId="1A59E1A8" w14:textId="77777777">
            <w:pPr>
              <w:pStyle w:val="BodyText"/>
              <w:spacing w:before="120"/>
              <w:jc w:val="center"/>
              <w:rPr>
                <w:b/>
                <w:bCs/>
                <w:sz w:val="22"/>
              </w:rPr>
            </w:pPr>
            <w:r w:rsidRPr="009539B6">
              <w:rPr>
                <w:b/>
                <w:bCs/>
                <w:sz w:val="22"/>
              </w:rPr>
              <w:t>A</w:t>
            </w:r>
          </w:p>
        </w:tc>
        <w:tc>
          <w:tcPr>
            <w:tcW w:w="3691" w:type="dxa"/>
            <w:vAlign w:val="center"/>
          </w:tcPr>
          <w:p w:rsidRPr="00E168CB" w:rsidR="00807FA2" w:rsidP="00030FD3" w:rsidRDefault="00807FA2" w14:paraId="053299D7" w14:textId="77777777">
            <w:pPr>
              <w:pStyle w:val="BodyText"/>
              <w:spacing w:before="120"/>
              <w:rPr>
                <w:sz w:val="22"/>
              </w:rPr>
            </w:pPr>
            <w:r w:rsidRPr="00E168CB">
              <w:rPr>
                <w:sz w:val="22"/>
              </w:rPr>
              <w:t>Amount to be raised by this Offering</w:t>
            </w:r>
          </w:p>
        </w:tc>
        <w:tc>
          <w:tcPr>
            <w:tcW w:w="2693" w:type="dxa"/>
          </w:tcPr>
          <w:p w:rsidRPr="00587C63" w:rsidR="00807FA2" w:rsidP="00030FD3" w:rsidRDefault="00807FA2" w14:paraId="67A899F2" w14:textId="2F6609EC">
            <w:pPr>
              <w:pStyle w:val="BodyText"/>
              <w:spacing w:before="120"/>
              <w:ind w:right="40"/>
              <w:jc w:val="center"/>
              <w:rPr>
                <w:sz w:val="22"/>
              </w:rPr>
            </w:pPr>
            <w:r w:rsidRPr="00587C63">
              <w:rPr>
                <w:sz w:val="22"/>
              </w:rPr>
              <w:t>$</w:t>
            </w:r>
            <w:r w:rsidRPr="00587C63" w:rsidR="003045BA">
              <w:rPr>
                <w:sz w:val="22"/>
              </w:rPr>
              <w:t>200,000</w:t>
            </w:r>
          </w:p>
        </w:tc>
        <w:tc>
          <w:tcPr>
            <w:tcW w:w="2693" w:type="dxa"/>
            <w:vAlign w:val="center"/>
          </w:tcPr>
          <w:p w:rsidRPr="00587C63" w:rsidR="00807FA2" w:rsidP="00030FD3" w:rsidRDefault="00807FA2" w14:paraId="045DF4CC" w14:textId="7FEE4430">
            <w:pPr>
              <w:pStyle w:val="BodyText"/>
              <w:spacing w:before="120"/>
              <w:ind w:right="40"/>
              <w:jc w:val="center"/>
              <w:rPr>
                <w:sz w:val="22"/>
              </w:rPr>
            </w:pPr>
            <w:r w:rsidRPr="00587C63">
              <w:rPr>
                <w:sz w:val="22"/>
              </w:rPr>
              <w:t>$215,000</w:t>
            </w:r>
          </w:p>
        </w:tc>
      </w:tr>
      <w:tr w:rsidRPr="009539B6" w:rsidR="00807FA2" w:rsidTr="00807FA2" w14:paraId="13648BA6" w14:textId="2384D967">
        <w:trPr>
          <w:trHeight w:val="397"/>
        </w:trPr>
        <w:tc>
          <w:tcPr>
            <w:tcW w:w="420" w:type="dxa"/>
            <w:vAlign w:val="center"/>
          </w:tcPr>
          <w:p w:rsidRPr="009539B6" w:rsidR="00807FA2" w:rsidP="00030FD3" w:rsidRDefault="00807FA2" w14:paraId="43C28534" w14:textId="77777777">
            <w:pPr>
              <w:pStyle w:val="BodyText"/>
              <w:spacing w:before="120"/>
              <w:jc w:val="center"/>
              <w:rPr>
                <w:b/>
                <w:bCs/>
                <w:sz w:val="22"/>
              </w:rPr>
            </w:pPr>
            <w:r w:rsidRPr="009539B6">
              <w:rPr>
                <w:b/>
                <w:bCs/>
                <w:sz w:val="22"/>
              </w:rPr>
              <w:t>B</w:t>
            </w:r>
          </w:p>
        </w:tc>
        <w:tc>
          <w:tcPr>
            <w:tcW w:w="3691" w:type="dxa"/>
            <w:vAlign w:val="center"/>
          </w:tcPr>
          <w:p w:rsidRPr="00E168CB" w:rsidR="00807FA2" w:rsidP="00030FD3" w:rsidRDefault="00807FA2" w14:paraId="187D0637" w14:textId="2894C7B3">
            <w:pPr>
              <w:pStyle w:val="BodyText"/>
              <w:spacing w:before="120"/>
              <w:rPr>
                <w:sz w:val="22"/>
              </w:rPr>
            </w:pPr>
            <w:r w:rsidRPr="00E168CB">
              <w:rPr>
                <w:sz w:val="22"/>
              </w:rPr>
              <w:t>Selling commissions and fees</w:t>
            </w:r>
            <w:r w:rsidRPr="00DB2268">
              <w:rPr>
                <w:sz w:val="22"/>
                <w:vertAlign w:val="superscript"/>
              </w:rPr>
              <w:t xml:space="preserve">(1) </w:t>
            </w:r>
          </w:p>
        </w:tc>
        <w:tc>
          <w:tcPr>
            <w:tcW w:w="2693" w:type="dxa"/>
          </w:tcPr>
          <w:p w:rsidRPr="00587C63" w:rsidR="00807FA2" w:rsidP="00030FD3" w:rsidRDefault="003045BA" w14:paraId="70623E28" w14:textId="0AF3A2DD">
            <w:pPr>
              <w:pStyle w:val="BodyText"/>
              <w:spacing w:before="120"/>
              <w:ind w:right="40"/>
              <w:jc w:val="center"/>
              <w:rPr>
                <w:sz w:val="22"/>
              </w:rPr>
            </w:pPr>
            <w:r w:rsidRPr="00587C63">
              <w:rPr>
                <w:sz w:val="22"/>
              </w:rPr>
              <w:t>$20,000</w:t>
            </w:r>
          </w:p>
        </w:tc>
        <w:tc>
          <w:tcPr>
            <w:tcW w:w="2693" w:type="dxa"/>
            <w:vAlign w:val="center"/>
          </w:tcPr>
          <w:p w:rsidRPr="00587C63" w:rsidR="00807FA2" w:rsidP="00030FD3" w:rsidRDefault="003045BA" w14:paraId="3A950D19" w14:textId="1F5716E4">
            <w:pPr>
              <w:pStyle w:val="BodyText"/>
              <w:spacing w:before="120"/>
              <w:ind w:right="40"/>
              <w:jc w:val="center"/>
              <w:rPr>
                <w:sz w:val="22"/>
              </w:rPr>
            </w:pPr>
            <w:r w:rsidRPr="00587C63">
              <w:rPr>
                <w:sz w:val="22"/>
              </w:rPr>
              <w:t>$21,500</w:t>
            </w:r>
          </w:p>
        </w:tc>
      </w:tr>
      <w:tr w:rsidRPr="009539B6" w:rsidR="00807FA2" w:rsidTr="007E71B2" w14:paraId="0BAB197E" w14:textId="03245945">
        <w:trPr>
          <w:trHeight w:val="397"/>
        </w:trPr>
        <w:tc>
          <w:tcPr>
            <w:tcW w:w="420" w:type="dxa"/>
            <w:vAlign w:val="center"/>
          </w:tcPr>
          <w:p w:rsidRPr="009539B6" w:rsidR="00807FA2" w:rsidP="00807FA2" w:rsidRDefault="00807FA2" w14:paraId="134E0CDD" w14:textId="77777777">
            <w:pPr>
              <w:pStyle w:val="BodyText"/>
              <w:spacing w:before="120"/>
              <w:jc w:val="center"/>
              <w:rPr>
                <w:b/>
                <w:bCs/>
                <w:sz w:val="22"/>
              </w:rPr>
            </w:pPr>
            <w:r w:rsidRPr="009539B6">
              <w:rPr>
                <w:b/>
                <w:bCs/>
                <w:sz w:val="22"/>
              </w:rPr>
              <w:t>C</w:t>
            </w:r>
          </w:p>
        </w:tc>
        <w:tc>
          <w:tcPr>
            <w:tcW w:w="3691" w:type="dxa"/>
            <w:vAlign w:val="center"/>
          </w:tcPr>
          <w:p w:rsidRPr="00E168CB" w:rsidR="00807FA2" w:rsidP="00807FA2" w:rsidRDefault="00807FA2" w14:paraId="34503E8C" w14:textId="77777777">
            <w:pPr>
              <w:pStyle w:val="BodyText"/>
              <w:spacing w:before="120"/>
              <w:jc w:val="left"/>
              <w:rPr>
                <w:sz w:val="22"/>
              </w:rPr>
            </w:pPr>
            <w:r w:rsidRPr="00E168CB">
              <w:rPr>
                <w:sz w:val="22"/>
              </w:rPr>
              <w:t>Estimated Offering costs (e.g., legal, accounting, audit)</w:t>
            </w:r>
          </w:p>
        </w:tc>
        <w:tc>
          <w:tcPr>
            <w:tcW w:w="2693" w:type="dxa"/>
            <w:vAlign w:val="center"/>
          </w:tcPr>
          <w:p w:rsidRPr="003C5389" w:rsidR="00807FA2" w:rsidP="00807FA2" w:rsidRDefault="00807FA2" w14:paraId="01CFB932" w14:textId="7F95E7BE">
            <w:pPr>
              <w:pStyle w:val="BodyText"/>
              <w:spacing w:before="120"/>
              <w:ind w:right="40"/>
              <w:jc w:val="center"/>
            </w:pPr>
            <w:r w:rsidRPr="003C5389">
              <w:rPr>
                <w:sz w:val="22"/>
              </w:rPr>
              <w:t>$</w:t>
            </w:r>
            <w:r>
              <w:rPr>
                <w:sz w:val="22"/>
              </w:rPr>
              <w:t>15</w:t>
            </w:r>
            <w:r w:rsidRPr="003C5389">
              <w:rPr>
                <w:sz w:val="22"/>
              </w:rPr>
              <w:t>,000</w:t>
            </w:r>
          </w:p>
        </w:tc>
        <w:tc>
          <w:tcPr>
            <w:tcW w:w="2693" w:type="dxa"/>
            <w:vAlign w:val="center"/>
          </w:tcPr>
          <w:p w:rsidRPr="003C5389" w:rsidR="00807FA2" w:rsidP="00807FA2" w:rsidRDefault="00807FA2" w14:paraId="24814FBC" w14:textId="40284540">
            <w:pPr>
              <w:pStyle w:val="BodyText"/>
              <w:spacing w:before="120"/>
              <w:ind w:right="40"/>
              <w:jc w:val="center"/>
            </w:pPr>
            <w:r w:rsidRPr="003C5389">
              <w:rPr>
                <w:sz w:val="22"/>
              </w:rPr>
              <w:t>$</w:t>
            </w:r>
            <w:r>
              <w:rPr>
                <w:sz w:val="22"/>
              </w:rPr>
              <w:t>15</w:t>
            </w:r>
            <w:r w:rsidRPr="003C5389">
              <w:rPr>
                <w:sz w:val="22"/>
              </w:rPr>
              <w:t>,000</w:t>
            </w:r>
          </w:p>
        </w:tc>
      </w:tr>
      <w:tr w:rsidRPr="009539B6" w:rsidR="00807FA2" w:rsidTr="00443E8C" w14:paraId="494D12E3" w14:textId="0FDCA476">
        <w:trPr>
          <w:trHeight w:val="397"/>
        </w:trPr>
        <w:tc>
          <w:tcPr>
            <w:tcW w:w="420" w:type="dxa"/>
            <w:vAlign w:val="center"/>
          </w:tcPr>
          <w:p w:rsidRPr="009539B6" w:rsidR="00807FA2" w:rsidP="00807FA2" w:rsidRDefault="00807FA2" w14:paraId="3DFDA5D4" w14:textId="77777777">
            <w:pPr>
              <w:pStyle w:val="BodyText"/>
              <w:spacing w:before="120"/>
              <w:jc w:val="center"/>
              <w:rPr>
                <w:b/>
                <w:bCs/>
                <w:sz w:val="22"/>
              </w:rPr>
            </w:pPr>
            <w:r w:rsidRPr="009539B6">
              <w:rPr>
                <w:b/>
                <w:bCs/>
                <w:sz w:val="22"/>
              </w:rPr>
              <w:t>D</w:t>
            </w:r>
          </w:p>
        </w:tc>
        <w:tc>
          <w:tcPr>
            <w:tcW w:w="3691" w:type="dxa"/>
            <w:vAlign w:val="center"/>
          </w:tcPr>
          <w:p w:rsidRPr="00E168CB" w:rsidR="00807FA2" w:rsidP="00807FA2" w:rsidRDefault="00807FA2" w14:paraId="46CF928D" w14:textId="77777777">
            <w:pPr>
              <w:pStyle w:val="BodyText"/>
              <w:spacing w:before="120"/>
              <w:rPr>
                <w:sz w:val="22"/>
              </w:rPr>
            </w:pPr>
            <w:r w:rsidRPr="00E168CB">
              <w:rPr>
                <w:sz w:val="22"/>
              </w:rPr>
              <w:t>Net proceeds of Offering: D = A - (B + C)</w:t>
            </w:r>
          </w:p>
        </w:tc>
        <w:tc>
          <w:tcPr>
            <w:tcW w:w="2693" w:type="dxa"/>
            <w:vAlign w:val="center"/>
          </w:tcPr>
          <w:p w:rsidR="00807FA2" w:rsidP="00807FA2" w:rsidRDefault="00807FA2" w14:paraId="4CB8351A" w14:textId="7BAD9304">
            <w:pPr>
              <w:pStyle w:val="BodyText"/>
              <w:spacing w:before="120"/>
              <w:ind w:right="40"/>
              <w:jc w:val="center"/>
            </w:pPr>
            <w:r>
              <w:rPr>
                <w:sz w:val="22"/>
              </w:rPr>
              <w:t>$</w:t>
            </w:r>
            <w:r w:rsidR="003045BA">
              <w:rPr>
                <w:sz w:val="22"/>
              </w:rPr>
              <w:t>165,000</w:t>
            </w:r>
          </w:p>
        </w:tc>
        <w:tc>
          <w:tcPr>
            <w:tcW w:w="2693" w:type="dxa"/>
            <w:vAlign w:val="center"/>
          </w:tcPr>
          <w:p w:rsidR="00807FA2" w:rsidP="00807FA2" w:rsidRDefault="00807FA2" w14:paraId="1E9E0016" w14:textId="18052618">
            <w:pPr>
              <w:pStyle w:val="BodyText"/>
              <w:spacing w:before="120"/>
              <w:ind w:right="40"/>
              <w:jc w:val="center"/>
            </w:pPr>
            <w:r>
              <w:rPr>
                <w:sz w:val="22"/>
              </w:rPr>
              <w:t>$</w:t>
            </w:r>
            <w:r w:rsidR="003045BA">
              <w:rPr>
                <w:sz w:val="22"/>
              </w:rPr>
              <w:t>178,500</w:t>
            </w:r>
          </w:p>
        </w:tc>
      </w:tr>
      <w:tr w:rsidRPr="009539B6" w:rsidR="00807FA2" w:rsidTr="00807FA2" w14:paraId="4AAC0A31" w14:textId="2E760ED4">
        <w:trPr>
          <w:trHeight w:val="397"/>
        </w:trPr>
        <w:tc>
          <w:tcPr>
            <w:tcW w:w="420" w:type="dxa"/>
            <w:vAlign w:val="center"/>
          </w:tcPr>
          <w:p w:rsidRPr="009539B6" w:rsidR="00807FA2" w:rsidP="00807FA2" w:rsidRDefault="00807FA2" w14:paraId="2CDA6A2E" w14:textId="77777777">
            <w:pPr>
              <w:pStyle w:val="BodyText"/>
              <w:spacing w:before="120"/>
              <w:jc w:val="center"/>
              <w:rPr>
                <w:b/>
                <w:bCs/>
                <w:sz w:val="22"/>
              </w:rPr>
            </w:pPr>
            <w:r w:rsidRPr="009539B6">
              <w:rPr>
                <w:b/>
                <w:bCs/>
                <w:sz w:val="22"/>
              </w:rPr>
              <w:t>E</w:t>
            </w:r>
          </w:p>
        </w:tc>
        <w:tc>
          <w:tcPr>
            <w:tcW w:w="3691" w:type="dxa"/>
            <w:vAlign w:val="center"/>
          </w:tcPr>
          <w:p w:rsidRPr="00E168CB" w:rsidR="00807FA2" w:rsidP="00807FA2" w:rsidRDefault="00807FA2" w14:paraId="522826C6" w14:textId="77777777">
            <w:pPr>
              <w:pStyle w:val="BodyText"/>
              <w:spacing w:before="120"/>
              <w:rPr>
                <w:sz w:val="22"/>
              </w:rPr>
            </w:pPr>
            <w:r w:rsidRPr="00E168CB">
              <w:rPr>
                <w:sz w:val="22"/>
              </w:rPr>
              <w:t>Working capital as at most recent month end</w:t>
            </w:r>
          </w:p>
        </w:tc>
        <w:tc>
          <w:tcPr>
            <w:tcW w:w="2693" w:type="dxa"/>
            <w:vAlign w:val="center"/>
          </w:tcPr>
          <w:p w:rsidRPr="00313F75" w:rsidR="00807FA2" w:rsidP="00807FA2" w:rsidRDefault="00807FA2" w14:paraId="396C59B9" w14:textId="5BC36941">
            <w:pPr>
              <w:pStyle w:val="BodyText"/>
              <w:spacing w:before="120"/>
              <w:ind w:right="40"/>
              <w:jc w:val="center"/>
            </w:pPr>
            <w:r w:rsidRPr="00313F75">
              <w:rPr>
                <w:sz w:val="22"/>
              </w:rPr>
              <w:t>$</w:t>
            </w:r>
            <w:r w:rsidR="003045BA">
              <w:rPr>
                <w:sz w:val="22"/>
              </w:rPr>
              <w:t>(38,064)</w:t>
            </w:r>
          </w:p>
        </w:tc>
        <w:tc>
          <w:tcPr>
            <w:tcW w:w="2693" w:type="dxa"/>
            <w:vAlign w:val="center"/>
          </w:tcPr>
          <w:p w:rsidRPr="00313F75" w:rsidR="00807FA2" w:rsidP="00807FA2" w:rsidRDefault="003045BA" w14:paraId="0223B5C2" w14:textId="7A0D91EA">
            <w:pPr>
              <w:pStyle w:val="BodyText"/>
              <w:spacing w:before="120"/>
              <w:ind w:right="40"/>
              <w:jc w:val="center"/>
            </w:pPr>
            <w:r w:rsidRPr="00313F75">
              <w:rPr>
                <w:sz w:val="22"/>
              </w:rPr>
              <w:t>$</w:t>
            </w:r>
            <w:r>
              <w:rPr>
                <w:sz w:val="22"/>
              </w:rPr>
              <w:t>(38,064)</w:t>
            </w:r>
          </w:p>
        </w:tc>
      </w:tr>
      <w:tr w:rsidRPr="009539B6" w:rsidR="00807FA2" w:rsidTr="00807FA2" w14:paraId="6792B0E1" w14:textId="2F0085AE">
        <w:trPr>
          <w:trHeight w:val="397"/>
        </w:trPr>
        <w:tc>
          <w:tcPr>
            <w:tcW w:w="420" w:type="dxa"/>
            <w:vAlign w:val="center"/>
          </w:tcPr>
          <w:p w:rsidRPr="009539B6" w:rsidR="00807FA2" w:rsidP="00807FA2" w:rsidRDefault="00807FA2" w14:paraId="450FE09A" w14:textId="77777777">
            <w:pPr>
              <w:pStyle w:val="BodyText"/>
              <w:spacing w:before="120"/>
              <w:jc w:val="center"/>
              <w:rPr>
                <w:b/>
                <w:bCs/>
                <w:sz w:val="22"/>
              </w:rPr>
            </w:pPr>
            <w:r w:rsidRPr="009539B6">
              <w:rPr>
                <w:b/>
                <w:bCs/>
                <w:sz w:val="22"/>
              </w:rPr>
              <w:t>F</w:t>
            </w:r>
          </w:p>
        </w:tc>
        <w:tc>
          <w:tcPr>
            <w:tcW w:w="3691" w:type="dxa"/>
            <w:vAlign w:val="center"/>
          </w:tcPr>
          <w:p w:rsidRPr="00E168CB" w:rsidR="00807FA2" w:rsidP="00807FA2" w:rsidRDefault="00807FA2" w14:paraId="0D2855E1" w14:textId="77777777">
            <w:pPr>
              <w:pStyle w:val="BodyText"/>
              <w:spacing w:before="120"/>
              <w:rPr>
                <w:sz w:val="22"/>
              </w:rPr>
            </w:pPr>
            <w:r w:rsidRPr="00E168CB">
              <w:rPr>
                <w:sz w:val="22"/>
              </w:rPr>
              <w:t>Additional sources of funding</w:t>
            </w:r>
          </w:p>
        </w:tc>
        <w:tc>
          <w:tcPr>
            <w:tcW w:w="2693" w:type="dxa"/>
            <w:vAlign w:val="center"/>
          </w:tcPr>
          <w:p w:rsidRPr="00313F75" w:rsidR="00807FA2" w:rsidP="00807FA2" w:rsidRDefault="00807FA2" w14:paraId="1AFAE5E9" w14:textId="0C1FFDE7">
            <w:pPr>
              <w:pStyle w:val="BodyText"/>
              <w:spacing w:before="120"/>
              <w:ind w:right="40"/>
              <w:jc w:val="center"/>
            </w:pPr>
            <w:r w:rsidRPr="00313F75">
              <w:rPr>
                <w:sz w:val="22"/>
              </w:rPr>
              <w:t>Nil</w:t>
            </w:r>
          </w:p>
        </w:tc>
        <w:tc>
          <w:tcPr>
            <w:tcW w:w="2693" w:type="dxa"/>
            <w:vAlign w:val="center"/>
          </w:tcPr>
          <w:p w:rsidRPr="00313F75" w:rsidR="00807FA2" w:rsidP="00807FA2" w:rsidRDefault="00807FA2" w14:paraId="42153283" w14:textId="534EFC25">
            <w:pPr>
              <w:pStyle w:val="BodyText"/>
              <w:spacing w:before="120"/>
              <w:ind w:right="40"/>
              <w:jc w:val="center"/>
            </w:pPr>
            <w:r w:rsidRPr="00313F75">
              <w:rPr>
                <w:sz w:val="22"/>
              </w:rPr>
              <w:t>Nil</w:t>
            </w:r>
          </w:p>
        </w:tc>
      </w:tr>
      <w:tr w:rsidRPr="009539B6" w:rsidR="00807FA2" w:rsidTr="00807FA2" w14:paraId="36240D05" w14:textId="423FB550">
        <w:trPr>
          <w:trHeight w:val="397"/>
        </w:trPr>
        <w:tc>
          <w:tcPr>
            <w:tcW w:w="420" w:type="dxa"/>
            <w:vAlign w:val="center"/>
          </w:tcPr>
          <w:p w:rsidRPr="009539B6" w:rsidR="00807FA2" w:rsidP="00807FA2" w:rsidRDefault="00807FA2" w14:paraId="01989E6E" w14:textId="77777777">
            <w:pPr>
              <w:pStyle w:val="BodyText"/>
              <w:spacing w:before="120"/>
              <w:jc w:val="center"/>
              <w:rPr>
                <w:b/>
                <w:bCs/>
                <w:sz w:val="22"/>
              </w:rPr>
            </w:pPr>
            <w:r w:rsidRPr="009539B6">
              <w:rPr>
                <w:b/>
                <w:bCs/>
                <w:sz w:val="22"/>
              </w:rPr>
              <w:t>G</w:t>
            </w:r>
          </w:p>
        </w:tc>
        <w:tc>
          <w:tcPr>
            <w:tcW w:w="3691" w:type="dxa"/>
            <w:vAlign w:val="center"/>
          </w:tcPr>
          <w:p w:rsidRPr="009D0C23" w:rsidR="00807FA2" w:rsidP="00807FA2" w:rsidRDefault="00807FA2" w14:paraId="57028AA5" w14:textId="77777777">
            <w:pPr>
              <w:pStyle w:val="BodyText"/>
              <w:spacing w:before="120"/>
              <w:jc w:val="left"/>
              <w:rPr>
                <w:b/>
                <w:bCs/>
                <w:sz w:val="22"/>
              </w:rPr>
            </w:pPr>
            <w:r w:rsidRPr="009D0C23">
              <w:rPr>
                <w:b/>
                <w:bCs/>
                <w:sz w:val="22"/>
              </w:rPr>
              <w:t>Total available funds: G = D + E + F</w:t>
            </w:r>
          </w:p>
        </w:tc>
        <w:tc>
          <w:tcPr>
            <w:tcW w:w="2693" w:type="dxa"/>
            <w:vAlign w:val="center"/>
          </w:tcPr>
          <w:p w:rsidRPr="00313F75" w:rsidR="00807FA2" w:rsidP="00807FA2" w:rsidRDefault="00807FA2" w14:paraId="0AE86C3B" w14:textId="722B838C">
            <w:pPr>
              <w:pStyle w:val="BodyText"/>
              <w:spacing w:before="120"/>
              <w:ind w:right="40"/>
              <w:jc w:val="center"/>
              <w:rPr>
                <w:b/>
                <w:bCs/>
              </w:rPr>
            </w:pPr>
            <w:r w:rsidRPr="00313F75">
              <w:rPr>
                <w:b/>
                <w:bCs/>
                <w:sz w:val="22"/>
              </w:rPr>
              <w:t>$</w:t>
            </w:r>
            <w:r w:rsidR="003045BA">
              <w:rPr>
                <w:b/>
                <w:bCs/>
                <w:sz w:val="22"/>
              </w:rPr>
              <w:t>126,936</w:t>
            </w:r>
          </w:p>
        </w:tc>
        <w:tc>
          <w:tcPr>
            <w:tcW w:w="2693" w:type="dxa"/>
            <w:vAlign w:val="center"/>
          </w:tcPr>
          <w:p w:rsidRPr="00313F75" w:rsidR="00807FA2" w:rsidP="00807FA2" w:rsidRDefault="00807FA2" w14:paraId="211BA338" w14:textId="0D5E19B7">
            <w:pPr>
              <w:pStyle w:val="BodyText"/>
              <w:spacing w:before="120"/>
              <w:ind w:right="40"/>
              <w:jc w:val="center"/>
              <w:rPr>
                <w:b/>
                <w:bCs/>
              </w:rPr>
            </w:pPr>
            <w:r w:rsidRPr="00313F75">
              <w:rPr>
                <w:b/>
                <w:bCs/>
                <w:sz w:val="22"/>
              </w:rPr>
              <w:t>$</w:t>
            </w:r>
            <w:r w:rsidR="003045BA">
              <w:rPr>
                <w:b/>
                <w:bCs/>
                <w:sz w:val="22"/>
              </w:rPr>
              <w:t>140,436</w:t>
            </w:r>
          </w:p>
        </w:tc>
      </w:tr>
    </w:tbl>
    <w:p w:rsidRPr="009E7E98" w:rsidR="009E7E98" w:rsidP="00D60F75" w:rsidRDefault="009E7E98" w14:paraId="41423BDB" w14:textId="628E8287">
      <w:pPr>
        <w:pStyle w:val="BodyText"/>
        <w:spacing w:before="0"/>
        <w:ind w:firstLine="360"/>
        <w:rPr>
          <w:b/>
          <w:bCs/>
          <w:sz w:val="18"/>
          <w:szCs w:val="18"/>
          <w:lang w:val="en-CA"/>
        </w:rPr>
      </w:pPr>
      <w:r w:rsidRPr="001313A5">
        <w:rPr>
          <w:b/>
          <w:bCs/>
          <w:sz w:val="18"/>
          <w:szCs w:val="18"/>
          <w:u w:val="single"/>
          <w:lang w:val="en-CA"/>
        </w:rPr>
        <w:t>Note</w:t>
      </w:r>
      <w:r w:rsidRPr="009E7E98">
        <w:rPr>
          <w:b/>
          <w:bCs/>
          <w:sz w:val="18"/>
          <w:szCs w:val="18"/>
          <w:lang w:val="en-CA"/>
        </w:rPr>
        <w:t>:</w:t>
      </w:r>
    </w:p>
    <w:p w:rsidRPr="009E7E98" w:rsidR="009E7E98" w:rsidP="00D60F75" w:rsidRDefault="009E7E98" w14:paraId="69DDC8AF" w14:textId="1503A9AA">
      <w:pPr>
        <w:pStyle w:val="BodyText"/>
        <w:numPr>
          <w:ilvl w:val="0"/>
          <w:numId w:val="30"/>
        </w:numPr>
        <w:spacing w:before="0"/>
        <w:rPr>
          <w:sz w:val="18"/>
          <w:szCs w:val="18"/>
          <w:lang w:val="en-CA"/>
        </w:rPr>
      </w:pPr>
      <w:r w:rsidRPr="009E7E98">
        <w:rPr>
          <w:sz w:val="18"/>
          <w:szCs w:val="18"/>
          <w:lang w:val="en-CA"/>
        </w:rPr>
        <w:t>Th</w:t>
      </w:r>
      <w:r w:rsidR="00E83A1A">
        <w:rPr>
          <w:sz w:val="18"/>
          <w:szCs w:val="18"/>
          <w:lang w:val="en-CA"/>
        </w:rPr>
        <w:t>e</w:t>
      </w:r>
      <w:r w:rsidRPr="009E7E98">
        <w:rPr>
          <w:sz w:val="18"/>
          <w:szCs w:val="18"/>
          <w:lang w:val="en-CA"/>
        </w:rPr>
        <w:t xml:space="preserve"> Offering is non-brokered. As at the date of this offering document, the Company has not engaged any dealer or finder in connection with the Offering</w:t>
      </w:r>
      <w:r w:rsidRPr="004865A1" w:rsidR="004865A1">
        <w:rPr>
          <w:sz w:val="18"/>
          <w:szCs w:val="18"/>
          <w:lang w:val="en-CA"/>
        </w:rPr>
        <w:t xml:space="preserve">. </w:t>
      </w:r>
      <w:r w:rsidRPr="006C5CDE" w:rsidR="006C5CDE">
        <w:rPr>
          <w:sz w:val="18"/>
          <w:szCs w:val="18"/>
          <w:lang w:val="en-CA"/>
        </w:rPr>
        <w:t>The Company may pay certain eligible finders a cash fee of up to 10% of the gross proceeds raised in respect of the</w:t>
      </w:r>
      <w:r w:rsidR="006C5CDE">
        <w:rPr>
          <w:sz w:val="18"/>
          <w:szCs w:val="18"/>
          <w:lang w:val="en-CA"/>
        </w:rPr>
        <w:t xml:space="preserve"> </w:t>
      </w:r>
      <w:r w:rsidRPr="006C5CDE" w:rsidR="006C5CDE">
        <w:rPr>
          <w:sz w:val="18"/>
          <w:szCs w:val="18"/>
          <w:lang w:val="en-CA"/>
        </w:rPr>
        <w:t>Offering from subscribers introduced by such finders to the Company</w:t>
      </w:r>
      <w:r w:rsidR="006C5CDE">
        <w:rPr>
          <w:sz w:val="18"/>
          <w:szCs w:val="18"/>
          <w:lang w:val="en-CA"/>
        </w:rPr>
        <w:t xml:space="preserve">. </w:t>
      </w:r>
      <w:r w:rsidRPr="003045BA" w:rsidR="003045BA">
        <w:rPr>
          <w:sz w:val="18"/>
          <w:szCs w:val="18"/>
          <w:lang w:val="en-CA"/>
        </w:rPr>
        <w:t>The amount stated in the table above represents the Company’s estimate of the aggregate finder’s fees that may be paid by the Company in connection with the Offering.</w:t>
      </w:r>
    </w:p>
    <w:p w:rsidR="009212A7" w:rsidP="008A1544" w:rsidRDefault="009539B6" w14:paraId="5023323F" w14:textId="563B6FF0">
      <w:pPr>
        <w:pStyle w:val="BodyText"/>
        <w:keepNext/>
        <w:rPr>
          <w:b/>
          <w:bCs/>
          <w:lang w:val="en-CA"/>
        </w:rPr>
      </w:pPr>
      <w:r w:rsidRPr="009539B6">
        <w:rPr>
          <w:b/>
          <w:bCs/>
          <w:lang w:val="en-CA"/>
        </w:rPr>
        <w:lastRenderedPageBreak/>
        <w:t>How will we use the available funds?</w:t>
      </w:r>
    </w:p>
    <w:p w:rsidRPr="00066A42" w:rsidR="00066A42" w:rsidP="008A1544" w:rsidRDefault="00066A42" w14:paraId="58922A27" w14:textId="4EAE94FD">
      <w:pPr>
        <w:pStyle w:val="BodyText"/>
        <w:keepNext/>
        <w:spacing w:before="0"/>
        <w:rPr>
          <w:b/>
          <w:bCs/>
          <w:lang w:val="en-CA"/>
        </w:rPr>
      </w:pPr>
    </w:p>
    <w:tbl>
      <w:tblPr>
        <w:tblStyle w:val="TableGrid"/>
        <w:tblW w:w="0" w:type="auto"/>
        <w:tblInd w:w="108" w:type="dxa"/>
        <w:tblLook w:val="04A0" w:firstRow="1" w:lastRow="0" w:firstColumn="1" w:lastColumn="0" w:noHBand="0" w:noVBand="1"/>
      </w:tblPr>
      <w:tblGrid>
        <w:gridCol w:w="3134"/>
        <w:gridCol w:w="3103"/>
        <w:gridCol w:w="2835"/>
      </w:tblGrid>
      <w:tr w:rsidR="00030FD3" w:rsidTr="00030FD3" w14:paraId="324BC35B" w14:textId="680C58AA">
        <w:tc>
          <w:tcPr>
            <w:tcW w:w="3134" w:type="dxa"/>
            <w:shd w:val="clear" w:color="auto" w:fill="F2F2F2" w:themeFill="background1" w:themeFillShade="F2"/>
          </w:tcPr>
          <w:p w:rsidRPr="009005C8" w:rsidR="00030FD3" w:rsidP="008A1544" w:rsidRDefault="00030FD3" w14:paraId="66208EB6" w14:textId="3799B92B">
            <w:pPr>
              <w:keepNext/>
              <w:adjustRightInd w:val="0"/>
              <w:spacing w:before="60" w:after="60"/>
              <w:jc w:val="center"/>
              <w:rPr>
                <w:rFonts w:cstheme="minorHAnsi"/>
                <w:b/>
                <w:bCs/>
                <w:sz w:val="22"/>
              </w:rPr>
            </w:pPr>
            <w:r w:rsidRPr="009005C8">
              <w:rPr>
                <w:rFonts w:cstheme="minorHAnsi"/>
                <w:b/>
                <w:bCs/>
                <w:sz w:val="22"/>
              </w:rPr>
              <w:t>Description of intended use of available funds, listed in order of priority</w:t>
            </w:r>
            <w:r w:rsidRPr="007068D5">
              <w:rPr>
                <w:rFonts w:cstheme="minorHAnsi"/>
                <w:b/>
                <w:bCs/>
                <w:sz w:val="22"/>
                <w:vertAlign w:val="superscript"/>
              </w:rPr>
              <w:t>(1)</w:t>
            </w:r>
            <w:r>
              <w:rPr>
                <w:rFonts w:cstheme="minorHAnsi"/>
                <w:b/>
                <w:bCs/>
                <w:sz w:val="22"/>
                <w:vertAlign w:val="superscript"/>
              </w:rPr>
              <w:t>(2)</w:t>
            </w:r>
          </w:p>
        </w:tc>
        <w:tc>
          <w:tcPr>
            <w:tcW w:w="3103" w:type="dxa"/>
            <w:shd w:val="clear" w:color="auto" w:fill="F2F2F2" w:themeFill="background1" w:themeFillShade="F2"/>
          </w:tcPr>
          <w:p w:rsidRPr="009005C8" w:rsidR="00030FD3" w:rsidP="008A1544" w:rsidRDefault="00030FD3" w14:paraId="0A0FD205" w14:textId="39DC25F3">
            <w:pPr>
              <w:keepNext/>
              <w:adjustRightInd w:val="0"/>
              <w:spacing w:before="120"/>
              <w:jc w:val="center"/>
              <w:rPr>
                <w:rFonts w:cstheme="minorHAnsi"/>
                <w:b/>
                <w:bCs/>
                <w:sz w:val="22"/>
              </w:rPr>
            </w:pPr>
            <w:r w:rsidRPr="009005C8">
              <w:rPr>
                <w:rFonts w:cstheme="minorHAnsi"/>
                <w:b/>
                <w:bCs/>
                <w:sz w:val="22"/>
              </w:rPr>
              <w:t>M</w:t>
            </w:r>
            <w:r>
              <w:rPr>
                <w:rFonts w:cstheme="minorHAnsi"/>
                <w:b/>
                <w:bCs/>
                <w:sz w:val="22"/>
              </w:rPr>
              <w:t>inimum</w:t>
            </w:r>
            <w:r w:rsidRPr="009005C8">
              <w:rPr>
                <w:rFonts w:cstheme="minorHAnsi"/>
                <w:b/>
                <w:bCs/>
                <w:sz w:val="22"/>
              </w:rPr>
              <w:t xml:space="preserve"> Offering</w:t>
            </w:r>
          </w:p>
        </w:tc>
        <w:tc>
          <w:tcPr>
            <w:tcW w:w="2835" w:type="dxa"/>
            <w:shd w:val="clear" w:color="auto" w:fill="F2F2F2" w:themeFill="background1" w:themeFillShade="F2"/>
          </w:tcPr>
          <w:p w:rsidRPr="009005C8" w:rsidR="00030FD3" w:rsidP="008A1544" w:rsidRDefault="00030FD3" w14:paraId="3CB2618D" w14:textId="7C96DB63">
            <w:pPr>
              <w:keepNext/>
              <w:adjustRightInd w:val="0"/>
              <w:spacing w:before="120"/>
              <w:jc w:val="center"/>
              <w:rPr>
                <w:rFonts w:cstheme="minorHAnsi"/>
                <w:b/>
                <w:bCs/>
              </w:rPr>
            </w:pPr>
            <w:r w:rsidRPr="009005C8">
              <w:rPr>
                <w:rFonts w:cstheme="minorHAnsi"/>
                <w:b/>
                <w:bCs/>
                <w:sz w:val="22"/>
              </w:rPr>
              <w:t>Maximum Offering</w:t>
            </w:r>
          </w:p>
        </w:tc>
      </w:tr>
      <w:tr w:rsidR="00682C1E" w:rsidTr="00030FD3" w14:paraId="47ABE3D4" w14:textId="77777777">
        <w:tc>
          <w:tcPr>
            <w:tcW w:w="3134" w:type="dxa"/>
          </w:tcPr>
          <w:p w:rsidRPr="00AF0C17" w:rsidR="00682C1E" w:rsidP="00682C1E" w:rsidRDefault="00682C1E" w14:paraId="1FDD6F8F" w14:textId="1CF543FD">
            <w:pPr>
              <w:keepNext/>
              <w:adjustRightInd w:val="0"/>
            </w:pPr>
            <w:r w:rsidRPr="00AF0C17">
              <w:rPr>
                <w:sz w:val="22"/>
              </w:rPr>
              <w:t>Property payments due within 1 year</w:t>
            </w:r>
          </w:p>
        </w:tc>
        <w:tc>
          <w:tcPr>
            <w:tcW w:w="3103" w:type="dxa"/>
          </w:tcPr>
          <w:p w:rsidRPr="00313F75" w:rsidR="00682C1E" w:rsidP="00682C1E" w:rsidRDefault="00682C1E" w14:paraId="0D0D716E" w14:textId="083E100A">
            <w:pPr>
              <w:keepNext/>
              <w:adjustRightInd w:val="0"/>
              <w:jc w:val="center"/>
            </w:pPr>
            <w:r w:rsidRPr="00313F75">
              <w:rPr>
                <w:sz w:val="22"/>
              </w:rPr>
              <w:t>$</w:t>
            </w:r>
            <w:r>
              <w:rPr>
                <w:sz w:val="22"/>
              </w:rPr>
              <w:t>30,000</w:t>
            </w:r>
          </w:p>
        </w:tc>
        <w:tc>
          <w:tcPr>
            <w:tcW w:w="2835" w:type="dxa"/>
          </w:tcPr>
          <w:p w:rsidRPr="00313F75" w:rsidR="00682C1E" w:rsidP="00682C1E" w:rsidRDefault="00682C1E" w14:paraId="57C55071" w14:textId="4FF9FBEA">
            <w:pPr>
              <w:keepNext/>
              <w:adjustRightInd w:val="0"/>
              <w:jc w:val="center"/>
            </w:pPr>
            <w:r w:rsidRPr="00313F75">
              <w:rPr>
                <w:sz w:val="22"/>
              </w:rPr>
              <w:t>$</w:t>
            </w:r>
            <w:r>
              <w:rPr>
                <w:sz w:val="22"/>
              </w:rPr>
              <w:t>30,000</w:t>
            </w:r>
          </w:p>
        </w:tc>
      </w:tr>
      <w:tr w:rsidR="00305441" w:rsidTr="00030FD3" w14:paraId="2A364D74" w14:textId="77777777">
        <w:tc>
          <w:tcPr>
            <w:tcW w:w="3134" w:type="dxa"/>
          </w:tcPr>
          <w:p w:rsidRPr="00AF0C17" w:rsidR="00305441" w:rsidP="00305441" w:rsidRDefault="00305441" w14:paraId="7B1A5E23" w14:textId="748D82DF">
            <w:pPr>
              <w:keepNext/>
              <w:adjustRightInd w:val="0"/>
            </w:pPr>
            <w:r w:rsidRPr="00A1042E">
              <w:rPr>
                <w:sz w:val="22"/>
                <w:szCs w:val="20"/>
              </w:rPr>
              <w:t>Exploration activities at the Wales Lake property</w:t>
            </w:r>
          </w:p>
        </w:tc>
        <w:tc>
          <w:tcPr>
            <w:tcW w:w="3103" w:type="dxa"/>
          </w:tcPr>
          <w:p w:rsidRPr="00313F75" w:rsidR="00305441" w:rsidP="00305441" w:rsidRDefault="00305441" w14:paraId="3D9A71CE" w14:textId="5FD1DF3C">
            <w:pPr>
              <w:keepNext/>
              <w:adjustRightInd w:val="0"/>
              <w:jc w:val="center"/>
            </w:pPr>
            <w:r w:rsidRPr="00A1042E">
              <w:rPr>
                <w:sz w:val="22"/>
                <w:szCs w:val="20"/>
              </w:rPr>
              <w:t>$25,000</w:t>
            </w:r>
          </w:p>
        </w:tc>
        <w:tc>
          <w:tcPr>
            <w:tcW w:w="2835" w:type="dxa"/>
          </w:tcPr>
          <w:p w:rsidRPr="00313F75" w:rsidR="00305441" w:rsidP="00305441" w:rsidRDefault="00305441" w14:paraId="690CC6DF" w14:textId="558D8752">
            <w:pPr>
              <w:keepNext/>
              <w:adjustRightInd w:val="0"/>
              <w:jc w:val="center"/>
            </w:pPr>
            <w:r w:rsidRPr="00A1042E">
              <w:rPr>
                <w:sz w:val="22"/>
                <w:szCs w:val="20"/>
              </w:rPr>
              <w:t>$25,000</w:t>
            </w:r>
          </w:p>
        </w:tc>
      </w:tr>
      <w:tr w:rsidR="00305441" w:rsidTr="00030FD3" w14:paraId="7EEAA4AD" w14:textId="3B796A69">
        <w:tc>
          <w:tcPr>
            <w:tcW w:w="3134" w:type="dxa"/>
          </w:tcPr>
          <w:p w:rsidRPr="00411742" w:rsidR="00305441" w:rsidP="00305441" w:rsidRDefault="00305441" w14:paraId="52643EF1" w14:textId="3134AD04">
            <w:pPr>
              <w:keepNext/>
              <w:adjustRightInd w:val="0"/>
              <w:rPr>
                <w:rFonts w:cstheme="minorHAnsi"/>
                <w:sz w:val="22"/>
              </w:rPr>
            </w:pPr>
            <w:r w:rsidRPr="00411742">
              <w:rPr>
                <w:rFonts w:cstheme="minorHAnsi"/>
                <w:sz w:val="22"/>
              </w:rPr>
              <w:t>General and Administrative</w:t>
            </w:r>
            <w:r w:rsidRPr="00411742">
              <w:rPr>
                <w:rFonts w:cstheme="minorHAnsi"/>
                <w:sz w:val="22"/>
                <w:vertAlign w:val="superscript"/>
              </w:rPr>
              <w:t>(</w:t>
            </w:r>
            <w:r>
              <w:rPr>
                <w:rFonts w:cstheme="minorHAnsi"/>
                <w:sz w:val="22"/>
                <w:vertAlign w:val="superscript"/>
              </w:rPr>
              <w:t>3</w:t>
            </w:r>
            <w:r w:rsidRPr="00411742">
              <w:rPr>
                <w:rFonts w:cstheme="minorHAnsi"/>
                <w:sz w:val="22"/>
                <w:vertAlign w:val="superscript"/>
              </w:rPr>
              <w:t>)</w:t>
            </w:r>
          </w:p>
        </w:tc>
        <w:tc>
          <w:tcPr>
            <w:tcW w:w="3103" w:type="dxa"/>
          </w:tcPr>
          <w:p w:rsidRPr="00313F75" w:rsidR="00305441" w:rsidP="00305441" w:rsidRDefault="00305441" w14:paraId="6ACF948A" w14:textId="31F1FD5B">
            <w:pPr>
              <w:keepNext/>
              <w:adjustRightInd w:val="0"/>
              <w:jc w:val="center"/>
              <w:rPr>
                <w:sz w:val="22"/>
              </w:rPr>
            </w:pPr>
            <w:r w:rsidRPr="00DB243F">
              <w:rPr>
                <w:sz w:val="22"/>
              </w:rPr>
              <w:t>$</w:t>
            </w:r>
            <w:r>
              <w:rPr>
                <w:sz w:val="22"/>
              </w:rPr>
              <w:t>71</w:t>
            </w:r>
            <w:r w:rsidRPr="00DB243F">
              <w:rPr>
                <w:sz w:val="22"/>
              </w:rPr>
              <w:t>,936</w:t>
            </w:r>
          </w:p>
        </w:tc>
        <w:tc>
          <w:tcPr>
            <w:tcW w:w="2835" w:type="dxa"/>
          </w:tcPr>
          <w:p w:rsidRPr="00DB243F" w:rsidR="00305441" w:rsidP="00305441" w:rsidRDefault="00305441" w14:paraId="3BF41DAE" w14:textId="7B7CBF4E">
            <w:pPr>
              <w:keepNext/>
              <w:adjustRightInd w:val="0"/>
              <w:jc w:val="center"/>
              <w:rPr>
                <w:sz w:val="22"/>
              </w:rPr>
            </w:pPr>
            <w:r w:rsidRPr="00DB243F">
              <w:rPr>
                <w:sz w:val="22"/>
              </w:rPr>
              <w:t>$</w:t>
            </w:r>
            <w:r>
              <w:rPr>
                <w:sz w:val="22"/>
              </w:rPr>
              <w:t>85</w:t>
            </w:r>
            <w:r w:rsidRPr="00DB243F">
              <w:rPr>
                <w:sz w:val="22"/>
              </w:rPr>
              <w:t>,436</w:t>
            </w:r>
          </w:p>
        </w:tc>
      </w:tr>
      <w:tr w:rsidR="00305441" w:rsidTr="00030FD3" w14:paraId="78252209" w14:textId="2C1BDD6D">
        <w:tc>
          <w:tcPr>
            <w:tcW w:w="3134" w:type="dxa"/>
          </w:tcPr>
          <w:p w:rsidRPr="008B6643" w:rsidR="00305441" w:rsidP="00305441" w:rsidRDefault="00305441" w14:paraId="0ABC7D15" w14:textId="77777777">
            <w:pPr>
              <w:keepNext/>
              <w:adjustRightInd w:val="0"/>
              <w:rPr>
                <w:rFonts w:cstheme="minorHAnsi"/>
                <w:b/>
                <w:bCs/>
                <w:sz w:val="22"/>
                <w:highlight w:val="yellow"/>
              </w:rPr>
            </w:pPr>
            <w:r w:rsidRPr="008B6643">
              <w:rPr>
                <w:rFonts w:cstheme="minorHAnsi"/>
                <w:b/>
                <w:bCs/>
                <w:sz w:val="22"/>
              </w:rPr>
              <w:t>Total:  Equal to “G” Total Available Funds in Chart Above</w:t>
            </w:r>
          </w:p>
        </w:tc>
        <w:tc>
          <w:tcPr>
            <w:tcW w:w="3103" w:type="dxa"/>
          </w:tcPr>
          <w:p w:rsidRPr="00807FA2" w:rsidR="00305441" w:rsidP="00305441" w:rsidRDefault="00305441" w14:paraId="7C174865" w14:textId="4718AE48">
            <w:pPr>
              <w:keepNext/>
              <w:adjustRightInd w:val="0"/>
              <w:spacing w:before="120"/>
              <w:jc w:val="center"/>
              <w:rPr>
                <w:rFonts w:cstheme="minorHAnsi"/>
                <w:b/>
                <w:bCs/>
                <w:sz w:val="22"/>
              </w:rPr>
            </w:pPr>
            <w:r w:rsidRPr="00807FA2">
              <w:rPr>
                <w:b/>
                <w:bCs/>
                <w:sz w:val="22"/>
              </w:rPr>
              <w:t>$</w:t>
            </w:r>
            <w:r>
              <w:rPr>
                <w:b/>
                <w:bCs/>
                <w:sz w:val="22"/>
                <w:szCs w:val="20"/>
              </w:rPr>
              <w:t>126,936</w:t>
            </w:r>
          </w:p>
        </w:tc>
        <w:tc>
          <w:tcPr>
            <w:tcW w:w="2835" w:type="dxa"/>
          </w:tcPr>
          <w:p w:rsidRPr="00807FA2" w:rsidR="00305441" w:rsidP="00305441" w:rsidRDefault="00305441" w14:paraId="440A62EF" w14:textId="543BE181">
            <w:pPr>
              <w:keepNext/>
              <w:adjustRightInd w:val="0"/>
              <w:spacing w:before="120"/>
              <w:jc w:val="center"/>
              <w:rPr>
                <w:b/>
                <w:bCs/>
              </w:rPr>
            </w:pPr>
            <w:r w:rsidRPr="00807FA2">
              <w:rPr>
                <w:b/>
                <w:bCs/>
                <w:sz w:val="22"/>
              </w:rPr>
              <w:t>$</w:t>
            </w:r>
            <w:r>
              <w:rPr>
                <w:b/>
                <w:bCs/>
                <w:sz w:val="22"/>
                <w:szCs w:val="20"/>
              </w:rPr>
              <w:t>140,436</w:t>
            </w:r>
          </w:p>
        </w:tc>
      </w:tr>
    </w:tbl>
    <w:p w:rsidRPr="009005C8" w:rsidR="009005C8" w:rsidP="008A1544" w:rsidRDefault="009005C8" w14:paraId="024F9463" w14:textId="04ACB09C">
      <w:pPr>
        <w:pStyle w:val="BodyText"/>
        <w:keepNext/>
        <w:keepLines/>
        <w:spacing w:before="6"/>
        <w:rPr>
          <w:b/>
          <w:bCs/>
          <w:sz w:val="18"/>
          <w:szCs w:val="18"/>
          <w:u w:val="single"/>
        </w:rPr>
      </w:pPr>
      <w:r w:rsidRPr="009005C8">
        <w:rPr>
          <w:b/>
          <w:bCs/>
          <w:sz w:val="18"/>
          <w:szCs w:val="18"/>
          <w:u w:val="single"/>
        </w:rPr>
        <w:t>Notes:</w:t>
      </w:r>
    </w:p>
    <w:p w:rsidRPr="00D67A4F" w:rsidR="007068D5" w:rsidP="009005C8" w:rsidRDefault="007068D5" w14:paraId="7B93C1AB" w14:textId="432E0805">
      <w:pPr>
        <w:pStyle w:val="BodyText"/>
        <w:keepNext/>
        <w:keepLines/>
        <w:numPr>
          <w:ilvl w:val="0"/>
          <w:numId w:val="28"/>
        </w:numPr>
        <w:spacing w:before="6"/>
        <w:rPr>
          <w:sz w:val="18"/>
          <w:szCs w:val="18"/>
        </w:rPr>
      </w:pPr>
      <w:r w:rsidRPr="00D67A4F">
        <w:rPr>
          <w:sz w:val="18"/>
          <w:szCs w:val="18"/>
        </w:rPr>
        <w:t>The available funds will not be paid to insiders, associates or affiliates of the Company, except for normal course salaries</w:t>
      </w:r>
      <w:r w:rsidR="009D0C23">
        <w:rPr>
          <w:sz w:val="18"/>
          <w:szCs w:val="18"/>
        </w:rPr>
        <w:t xml:space="preserve"> and fees</w:t>
      </w:r>
      <w:r w:rsidRPr="00D67A4F">
        <w:rPr>
          <w:sz w:val="18"/>
          <w:szCs w:val="18"/>
        </w:rPr>
        <w:t>.</w:t>
      </w:r>
    </w:p>
    <w:p w:rsidRPr="00D67A4F" w:rsidR="00ED5845" w:rsidP="009005C8" w:rsidRDefault="00ED5845" w14:paraId="61C7E035" w14:textId="2525D84C">
      <w:pPr>
        <w:pStyle w:val="BodyText"/>
        <w:keepNext/>
        <w:keepLines/>
        <w:numPr>
          <w:ilvl w:val="0"/>
          <w:numId w:val="28"/>
        </w:numPr>
        <w:spacing w:before="6"/>
        <w:rPr>
          <w:sz w:val="18"/>
          <w:szCs w:val="18"/>
        </w:rPr>
      </w:pPr>
      <w:r w:rsidRPr="00D67A4F">
        <w:rPr>
          <w:sz w:val="18"/>
          <w:szCs w:val="18"/>
        </w:rPr>
        <w:t>The most recent financial statements of the Company included a going-concern note. Th</w:t>
      </w:r>
      <w:r w:rsidR="00572F3F">
        <w:rPr>
          <w:sz w:val="18"/>
          <w:szCs w:val="18"/>
        </w:rPr>
        <w:t>e</w:t>
      </w:r>
      <w:r w:rsidRPr="00D67A4F">
        <w:rPr>
          <w:sz w:val="18"/>
          <w:szCs w:val="18"/>
        </w:rPr>
        <w:t xml:space="preserve"> Offering is intended to permit the Company to continue its operations, with the goal of advancing its exploration activities and is not expected to affect the decision to include a going-concern note in the next annual financial statements of the Company.</w:t>
      </w:r>
    </w:p>
    <w:p w:rsidR="009005C8" w:rsidP="009005C8" w:rsidRDefault="009005C8" w14:paraId="4ABA8257" w14:textId="43785993">
      <w:pPr>
        <w:pStyle w:val="BodyText"/>
        <w:keepNext/>
        <w:keepLines/>
        <w:numPr>
          <w:ilvl w:val="0"/>
          <w:numId w:val="28"/>
        </w:numPr>
        <w:spacing w:before="6"/>
        <w:rPr>
          <w:sz w:val="18"/>
          <w:szCs w:val="18"/>
        </w:rPr>
      </w:pPr>
      <w:r w:rsidRPr="00D67A4F">
        <w:rPr>
          <w:sz w:val="18"/>
          <w:szCs w:val="18"/>
        </w:rPr>
        <w:t>General and administrative expenditures includes (without limitation) salaries, office and general costs and funds payable to external professionals, including accounting, audit,</w:t>
      </w:r>
      <w:r w:rsidR="00FB79B6">
        <w:rPr>
          <w:sz w:val="18"/>
          <w:szCs w:val="18"/>
        </w:rPr>
        <w:t xml:space="preserve"> stock </w:t>
      </w:r>
      <w:r w:rsidRPr="00FB79B6" w:rsidR="00FB79B6">
        <w:rPr>
          <w:sz w:val="18"/>
          <w:szCs w:val="18"/>
        </w:rPr>
        <w:t>exchange,</w:t>
      </w:r>
      <w:r w:rsidRPr="00FB79B6">
        <w:rPr>
          <w:sz w:val="18"/>
          <w:szCs w:val="18"/>
        </w:rPr>
        <w:t xml:space="preserve"> transfer agency, investor relations and legal costs. Under the maximum offering scenario, the Company intends to engage additional ongoing</w:t>
      </w:r>
      <w:r w:rsidR="001313A5">
        <w:rPr>
          <w:sz w:val="18"/>
          <w:szCs w:val="18"/>
        </w:rPr>
        <w:t xml:space="preserve"> marketing and</w:t>
      </w:r>
      <w:r w:rsidRPr="00FB79B6">
        <w:rPr>
          <w:sz w:val="18"/>
          <w:szCs w:val="18"/>
        </w:rPr>
        <w:t xml:space="preserve"> investor relations services to have more comprehensive advertisement of recent exploration and corporate development updates</w:t>
      </w:r>
      <w:r w:rsidRPr="00FB79B6" w:rsidR="007068D5">
        <w:rPr>
          <w:sz w:val="18"/>
          <w:szCs w:val="18"/>
        </w:rPr>
        <w:t>.</w:t>
      </w:r>
    </w:p>
    <w:p w:rsidR="009539B6" w:rsidP="002E20F6" w:rsidRDefault="009539B6" w14:paraId="21091777" w14:textId="5A1A9275">
      <w:pPr>
        <w:pStyle w:val="BodyText"/>
      </w:pPr>
      <w:r w:rsidRPr="009539B6">
        <w:t>The above noted allocation represents the Company’s current intentions with respect to its use of proceeds based on current knowledge, planning and expectations of management of the Company. Although the Company intends to expend the proceeds from th</w:t>
      </w:r>
      <w:r w:rsidR="00572F3F">
        <w:t>e</w:t>
      </w:r>
      <w:r w:rsidRPr="009539B6">
        <w:t xml:space="preserve"> Offering as set forth above, there may be circumstances where, for sound business reasons, a reallocation of funds may be deemed prudent or necessary and may vary materially from that set forth above, </w:t>
      </w:r>
      <w:r w:rsidRPr="005B2BF0" w:rsidR="005B2BF0">
        <w:t>provided, that such uses will not include a significant acquisition, a restructuring transaction, or any transaction requiring approval of the Company’s security holders.</w:t>
      </w:r>
      <w:r w:rsidR="005B2BF0">
        <w:t xml:space="preserve"> T</w:t>
      </w:r>
      <w:r w:rsidRPr="009539B6">
        <w:t xml:space="preserve">he amounts actually allocated and spent will depend on a number of factors, including the Company’s ability to execute on its business plan and financing objectives. </w:t>
      </w:r>
    </w:p>
    <w:p w:rsidRPr="006F77AE" w:rsidR="009539B6" w:rsidP="001B39A1" w:rsidRDefault="009539B6" w14:paraId="508CBA63" w14:textId="5DAA9564">
      <w:pPr>
        <w:pStyle w:val="BodyText"/>
        <w:keepNext/>
        <w:keepLines/>
        <w:rPr>
          <w:b/>
          <w:bCs/>
          <w:i/>
          <w:iCs/>
          <w:lang w:val="en-CA"/>
        </w:rPr>
      </w:pPr>
      <w:r w:rsidRPr="009539B6">
        <w:rPr>
          <w:b/>
          <w:bCs/>
          <w:i/>
          <w:iCs/>
          <w:lang w:val="en-CA"/>
        </w:rPr>
        <w:t>How have we used the other funds we have raised in the past 12 months?</w:t>
      </w:r>
    </w:p>
    <w:p w:rsidRPr="0094618C" w:rsidR="009539B6" w:rsidP="001B39A1" w:rsidRDefault="009539B6" w14:paraId="41D73837" w14:textId="75D8593F">
      <w:pPr>
        <w:pStyle w:val="BodyText"/>
        <w:keepNext/>
        <w:keepLines/>
        <w:rPr>
          <w:b/>
          <w:bCs/>
          <w:lang w:val="en-CA"/>
        </w:rPr>
      </w:pPr>
      <w:r w:rsidRPr="009539B6">
        <w:rPr>
          <w:lang w:val="en-CA"/>
        </w:rPr>
        <w:t xml:space="preserve">In </w:t>
      </w:r>
      <w:r w:rsidR="002A533D">
        <w:rPr>
          <w:lang w:val="en-CA"/>
        </w:rPr>
        <w:t>February 2025</w:t>
      </w:r>
      <w:r w:rsidR="001D4827">
        <w:rPr>
          <w:lang w:val="en-CA"/>
        </w:rPr>
        <w:t>,</w:t>
      </w:r>
      <w:r w:rsidRPr="009539B6">
        <w:rPr>
          <w:lang w:val="en-CA"/>
        </w:rPr>
        <w:t xml:space="preserve"> </w:t>
      </w:r>
      <w:r w:rsidR="001149F1">
        <w:rPr>
          <w:lang w:val="en-CA"/>
        </w:rPr>
        <w:t>Blast</w:t>
      </w:r>
      <w:r w:rsidRPr="009539B6">
        <w:rPr>
          <w:lang w:val="en-CA"/>
        </w:rPr>
        <w:t xml:space="preserve"> raised total gross proceeds of $</w:t>
      </w:r>
      <w:r w:rsidR="002A533D">
        <w:t>675</w:t>
      </w:r>
      <w:r w:rsidR="001D4827">
        <w:t>,000</w:t>
      </w:r>
      <w:r w:rsidR="00444250">
        <w:t xml:space="preserve"> </w:t>
      </w:r>
      <w:r w:rsidR="006F77AE">
        <w:rPr>
          <w:lang w:val="en-CA"/>
        </w:rPr>
        <w:t>through a private placement</w:t>
      </w:r>
      <w:r w:rsidRPr="009539B6">
        <w:rPr>
          <w:lang w:val="en-CA"/>
        </w:rPr>
        <w:t xml:space="preserve">, which </w:t>
      </w:r>
      <w:r w:rsidR="006F77AE">
        <w:rPr>
          <w:lang w:val="en-CA"/>
        </w:rPr>
        <w:t xml:space="preserve">proceeds </w:t>
      </w:r>
      <w:r w:rsidR="00ED5845">
        <w:rPr>
          <w:lang w:val="en-CA"/>
        </w:rPr>
        <w:t>were</w:t>
      </w:r>
      <w:r w:rsidR="001D4827">
        <w:rPr>
          <w:lang w:val="en-CA"/>
        </w:rPr>
        <w:t xml:space="preserve"> intended to be</w:t>
      </w:r>
      <w:r w:rsidRPr="009539B6">
        <w:rPr>
          <w:lang w:val="en-CA"/>
        </w:rPr>
        <w:t xml:space="preserve"> used as set out below.</w:t>
      </w:r>
      <w:r w:rsidR="0094618C">
        <w:rPr>
          <w:lang w:val="en-CA"/>
        </w:rPr>
        <w:t xml:space="preserve"> </w:t>
      </w:r>
    </w:p>
    <w:p w:rsidR="00E91D3D" w:rsidP="001B39A1" w:rsidRDefault="00E91D3D" w14:paraId="75BBBE33" w14:textId="77777777">
      <w:pPr>
        <w:pStyle w:val="BodyText"/>
        <w:keepNext/>
        <w:spacing w:before="0"/>
        <w:rPr>
          <w:b/>
          <w:bCs/>
          <w:lang w:val="en-CA"/>
        </w:rPr>
      </w:pPr>
    </w:p>
    <w:tbl>
      <w:tblPr>
        <w:tblStyle w:val="TableGrid"/>
        <w:tblW w:w="9356" w:type="dxa"/>
        <w:tblInd w:w="108" w:type="dxa"/>
        <w:tblLook w:val="04A0" w:firstRow="1" w:lastRow="0" w:firstColumn="1" w:lastColumn="0" w:noHBand="0" w:noVBand="1"/>
      </w:tblPr>
      <w:tblGrid>
        <w:gridCol w:w="3118"/>
        <w:gridCol w:w="3261"/>
        <w:gridCol w:w="2977"/>
      </w:tblGrid>
      <w:tr w:rsidRPr="0000088F" w:rsidR="00D111FF" w:rsidTr="00743A35" w14:paraId="24CC9655" w14:textId="65EA5583">
        <w:tc>
          <w:tcPr>
            <w:tcW w:w="3118" w:type="dxa"/>
            <w:shd w:val="clear" w:color="auto" w:fill="F2F2F2" w:themeFill="background1" w:themeFillShade="F2"/>
          </w:tcPr>
          <w:p w:rsidRPr="0000088F" w:rsidR="00D111FF" w:rsidP="001221AE" w:rsidRDefault="00D111FF" w14:paraId="254914D0" w14:textId="34F0BF29">
            <w:pPr>
              <w:keepNext/>
              <w:adjustRightInd w:val="0"/>
              <w:spacing w:before="120"/>
              <w:jc w:val="center"/>
              <w:rPr>
                <w:b/>
                <w:bCs/>
                <w:sz w:val="22"/>
              </w:rPr>
            </w:pPr>
            <w:bookmarkStart w:name="_Hlk124774169" w:id="2"/>
            <w:r w:rsidRPr="0000088F">
              <w:rPr>
                <w:b/>
                <w:bCs/>
                <w:sz w:val="22"/>
              </w:rPr>
              <w:t>Disclosed Use of Funds</w:t>
            </w:r>
          </w:p>
        </w:tc>
        <w:tc>
          <w:tcPr>
            <w:tcW w:w="3261" w:type="dxa"/>
            <w:shd w:val="clear" w:color="auto" w:fill="F2F2F2" w:themeFill="background1" w:themeFillShade="F2"/>
          </w:tcPr>
          <w:p w:rsidRPr="0000088F" w:rsidR="00D111FF" w:rsidP="001221AE" w:rsidRDefault="00D111FF" w14:paraId="7FB02D73" w14:textId="3815160C">
            <w:pPr>
              <w:keepNext/>
              <w:adjustRightInd w:val="0"/>
              <w:spacing w:before="120"/>
              <w:jc w:val="center"/>
              <w:rPr>
                <w:b/>
                <w:bCs/>
                <w:sz w:val="22"/>
              </w:rPr>
            </w:pPr>
            <w:r w:rsidRPr="0000088F">
              <w:rPr>
                <w:b/>
                <w:bCs/>
                <w:sz w:val="22"/>
              </w:rPr>
              <w:t xml:space="preserve">Actual Use of Funds </w:t>
            </w:r>
          </w:p>
        </w:tc>
        <w:tc>
          <w:tcPr>
            <w:tcW w:w="2977" w:type="dxa"/>
            <w:shd w:val="clear" w:color="auto" w:fill="F2F2F2" w:themeFill="background1" w:themeFillShade="F2"/>
          </w:tcPr>
          <w:p w:rsidRPr="0000088F" w:rsidR="00D111FF" w:rsidP="001221AE" w:rsidRDefault="00D111FF" w14:paraId="69DF6A5D" w14:textId="1AD15836">
            <w:pPr>
              <w:keepNext/>
              <w:adjustRightInd w:val="0"/>
              <w:spacing w:before="120" w:after="120"/>
              <w:jc w:val="center"/>
              <w:rPr>
                <w:b/>
                <w:bCs/>
                <w:sz w:val="22"/>
              </w:rPr>
            </w:pPr>
            <w:r w:rsidRPr="0000088F">
              <w:rPr>
                <w:b/>
                <w:bCs/>
                <w:sz w:val="22"/>
              </w:rPr>
              <w:t>Variance</w:t>
            </w:r>
          </w:p>
        </w:tc>
      </w:tr>
      <w:tr w:rsidRPr="0000088F" w:rsidR="00D111FF" w:rsidTr="00743A35" w14:paraId="2188FF81" w14:textId="18AC44E8">
        <w:tc>
          <w:tcPr>
            <w:tcW w:w="3118" w:type="dxa"/>
          </w:tcPr>
          <w:p w:rsidRPr="0000088F" w:rsidR="00D111FF" w:rsidP="00006130" w:rsidRDefault="002A533D" w14:paraId="6D7C751C" w14:textId="73FB7B93">
            <w:pPr>
              <w:keepNext/>
              <w:adjustRightInd w:val="0"/>
              <w:spacing w:before="120"/>
              <w:jc w:val="center"/>
              <w:rPr>
                <w:sz w:val="22"/>
              </w:rPr>
            </w:pPr>
            <w:r>
              <w:rPr>
                <w:sz w:val="22"/>
              </w:rPr>
              <w:t xml:space="preserve">Exploration Expenditures, </w:t>
            </w:r>
            <w:r w:rsidRPr="0000088F" w:rsidR="00D111FF">
              <w:rPr>
                <w:sz w:val="22"/>
              </w:rPr>
              <w:t>Working Capital and General Corporate Purposes</w:t>
            </w:r>
          </w:p>
        </w:tc>
        <w:tc>
          <w:tcPr>
            <w:tcW w:w="3261" w:type="dxa"/>
          </w:tcPr>
          <w:p w:rsidRPr="004865A1" w:rsidR="00D111FF" w:rsidP="005476EC" w:rsidRDefault="00D111FF" w14:paraId="5AA5B120" w14:textId="641B2BA4">
            <w:pPr>
              <w:keepNext/>
              <w:adjustRightInd w:val="0"/>
              <w:spacing w:before="120"/>
              <w:jc w:val="center"/>
              <w:rPr>
                <w:sz w:val="22"/>
                <w:vertAlign w:val="superscript"/>
              </w:rPr>
            </w:pPr>
            <w:r w:rsidRPr="004865A1">
              <w:rPr>
                <w:sz w:val="22"/>
              </w:rPr>
              <w:t xml:space="preserve">As of </w:t>
            </w:r>
            <w:r w:rsidRPr="004865A1" w:rsidR="000605D4">
              <w:rPr>
                <w:sz w:val="22"/>
              </w:rPr>
              <w:t xml:space="preserve">December </w:t>
            </w:r>
            <w:r w:rsidR="00A46997">
              <w:rPr>
                <w:sz w:val="22"/>
              </w:rPr>
              <w:t>10</w:t>
            </w:r>
            <w:r w:rsidRPr="004865A1" w:rsidR="002248EE">
              <w:rPr>
                <w:sz w:val="22"/>
              </w:rPr>
              <w:t xml:space="preserve">, </w:t>
            </w:r>
            <w:r w:rsidRPr="004865A1">
              <w:rPr>
                <w:sz w:val="22"/>
              </w:rPr>
              <w:t>202</w:t>
            </w:r>
            <w:r w:rsidRPr="004865A1" w:rsidR="001409E1">
              <w:rPr>
                <w:sz w:val="22"/>
              </w:rPr>
              <w:t>5</w:t>
            </w:r>
            <w:r w:rsidRPr="004865A1">
              <w:rPr>
                <w:sz w:val="22"/>
              </w:rPr>
              <w:t>, $</w:t>
            </w:r>
            <w:r w:rsidR="007E0894">
              <w:rPr>
                <w:sz w:val="22"/>
              </w:rPr>
              <w:t>670,156</w:t>
            </w:r>
            <w:r w:rsidRPr="004865A1" w:rsidR="00D67A4F">
              <w:rPr>
                <w:sz w:val="22"/>
              </w:rPr>
              <w:t xml:space="preserve"> from the </w:t>
            </w:r>
            <w:r w:rsidRPr="004865A1" w:rsidR="00926AEC">
              <w:rPr>
                <w:sz w:val="22"/>
              </w:rPr>
              <w:t xml:space="preserve">private </w:t>
            </w:r>
            <w:r w:rsidRPr="00A60C09" w:rsidR="00926AEC">
              <w:rPr>
                <w:sz w:val="22"/>
              </w:rPr>
              <w:t>placement</w:t>
            </w:r>
            <w:r w:rsidRPr="00A60C09" w:rsidR="00D67A4F">
              <w:rPr>
                <w:sz w:val="22"/>
              </w:rPr>
              <w:t xml:space="preserve"> has been used for </w:t>
            </w:r>
            <w:r w:rsidRPr="00A60C09" w:rsidR="008B089C">
              <w:rPr>
                <w:sz w:val="22"/>
              </w:rPr>
              <w:t>working capital and general corporate purposes, exploration expenses</w:t>
            </w:r>
            <w:r w:rsidRPr="00A60C09" w:rsidR="007E0894">
              <w:rPr>
                <w:sz w:val="22"/>
              </w:rPr>
              <w:t xml:space="preserve">, </w:t>
            </w:r>
            <w:r w:rsidRPr="00A60C09" w:rsidR="008B089C">
              <w:rPr>
                <w:sz w:val="22"/>
              </w:rPr>
              <w:t>and mineral property payments</w:t>
            </w:r>
            <w:r w:rsidRPr="00A60C09" w:rsidR="00926AEC">
              <w:rPr>
                <w:sz w:val="22"/>
              </w:rPr>
              <w:t>.</w:t>
            </w:r>
          </w:p>
        </w:tc>
        <w:tc>
          <w:tcPr>
            <w:tcW w:w="2977" w:type="dxa"/>
          </w:tcPr>
          <w:p w:rsidRPr="0000088F" w:rsidR="00D111FF" w:rsidP="00006130" w:rsidRDefault="007E0894" w14:paraId="23DC3F77" w14:textId="1EF22042">
            <w:pPr>
              <w:keepNext/>
              <w:adjustRightInd w:val="0"/>
              <w:spacing w:before="120"/>
              <w:jc w:val="center"/>
              <w:rPr>
                <w:sz w:val="22"/>
              </w:rPr>
            </w:pPr>
            <w:r>
              <w:rPr>
                <w:sz w:val="22"/>
              </w:rPr>
              <w:t>$4,946</w:t>
            </w:r>
          </w:p>
        </w:tc>
      </w:tr>
      <w:bookmarkEnd w:id="2"/>
    </w:tbl>
    <w:p w:rsidR="0011044E" w:rsidP="006F77AE" w:rsidRDefault="0011044E" w14:paraId="50D2C105" w14:textId="4C887FB0">
      <w:pPr>
        <w:pStyle w:val="BodyText"/>
        <w:spacing w:before="91"/>
        <w:rPr>
          <w:b/>
          <w:bCs/>
          <w:sz w:val="18"/>
          <w:szCs w:val="18"/>
          <w:u w:val="single"/>
        </w:rPr>
      </w:pPr>
    </w:p>
    <w:p w:rsidR="0011044E" w:rsidRDefault="0011044E" w14:paraId="2B975489" w14:textId="77777777">
      <w:pPr>
        <w:widowControl/>
        <w:autoSpaceDE/>
        <w:autoSpaceDN/>
        <w:spacing w:after="160" w:line="259" w:lineRule="auto"/>
        <w:rPr>
          <w:b/>
          <w:bCs/>
          <w:sz w:val="18"/>
          <w:szCs w:val="18"/>
          <w:u w:val="single"/>
        </w:rPr>
      </w:pPr>
      <w:r>
        <w:rPr>
          <w:b/>
          <w:bCs/>
          <w:sz w:val="18"/>
          <w:szCs w:val="18"/>
          <w:u w:val="single"/>
        </w:rPr>
        <w:br w:type="page"/>
      </w:r>
    </w:p>
    <w:p w:rsidRPr="00422514" w:rsidR="009539B6" w:rsidP="006F77AE" w:rsidRDefault="009539B6" w14:paraId="39B2DF86" w14:textId="2A63C6EA">
      <w:pPr>
        <w:pStyle w:val="BodyText"/>
        <w:spacing w:before="91"/>
        <w:rPr>
          <w:b/>
          <w:bCs/>
        </w:rPr>
      </w:pPr>
      <w:r w:rsidRPr="00422514">
        <w:rPr>
          <w:b/>
          <w:bCs/>
        </w:rPr>
        <w:lastRenderedPageBreak/>
        <w:t xml:space="preserve">PART 4  </w:t>
      </w:r>
      <w:r w:rsidR="00422514">
        <w:rPr>
          <w:b/>
          <w:bCs/>
        </w:rPr>
        <w:tab/>
      </w:r>
      <w:r w:rsidRPr="00422514">
        <w:rPr>
          <w:b/>
          <w:bCs/>
        </w:rPr>
        <w:t>FEES AND COMMISSIONS</w:t>
      </w:r>
    </w:p>
    <w:p w:rsidRPr="009539B6" w:rsidR="009539B6" w:rsidP="002E20F6" w:rsidRDefault="009539B6" w14:paraId="1E35DD71" w14:textId="77777777">
      <w:pPr>
        <w:pStyle w:val="BodyText"/>
        <w:rPr>
          <w:b/>
          <w:bCs/>
          <w:lang w:val="en-CA"/>
        </w:rPr>
      </w:pPr>
      <w:r w:rsidRPr="009539B6">
        <w:rPr>
          <w:b/>
          <w:bCs/>
          <w:lang w:val="en-CA"/>
        </w:rPr>
        <w:t>Who are the dealers or finders that we have engaged in connection with this offering, if any, and what are their fees?</w:t>
      </w:r>
    </w:p>
    <w:p w:rsidRPr="000A2805" w:rsidR="000A2805" w:rsidP="000A2805" w:rsidRDefault="000A2805" w14:paraId="58037E83" w14:textId="77777777">
      <w:pPr>
        <w:pStyle w:val="BodyText"/>
        <w:spacing w:before="4"/>
        <w:rPr>
          <w:rFonts w:eastAsiaTheme="minorHAnsi"/>
          <w14:ligatures w14:val="none"/>
        </w:rPr>
      </w:pPr>
    </w:p>
    <w:p w:rsidRPr="004865A1" w:rsidR="000A2805" w:rsidP="000A2805" w:rsidRDefault="009E7E98" w14:paraId="19195849" w14:textId="0B0BC4EE">
      <w:pPr>
        <w:pStyle w:val="BodyText"/>
        <w:spacing w:before="4"/>
        <w:rPr>
          <w:rFonts w:eastAsiaTheme="minorHAnsi"/>
          <w:lang w:val="en-CA"/>
          <w14:ligatures w14:val="none"/>
        </w:rPr>
      </w:pPr>
      <w:r w:rsidRPr="004865A1">
        <w:rPr>
          <w:rFonts w:eastAsiaTheme="minorHAnsi"/>
          <w:lang w:val="en-CA"/>
          <w14:ligatures w14:val="none"/>
        </w:rPr>
        <w:t>The Offering is non-brokered. As at the date of this offering document, t</w:t>
      </w:r>
      <w:r w:rsidRPr="004865A1" w:rsidR="000A2805">
        <w:rPr>
          <w:rFonts w:eastAsiaTheme="minorHAnsi"/>
          <w:lang w:val="en-CA"/>
          <w14:ligatures w14:val="none"/>
        </w:rPr>
        <w:t xml:space="preserve">he Company has not engaged any dealers </w:t>
      </w:r>
      <w:r w:rsidRPr="004865A1" w:rsidR="00EC18FD">
        <w:rPr>
          <w:rFonts w:eastAsiaTheme="minorHAnsi"/>
          <w:lang w:val="en-CA"/>
          <w14:ligatures w14:val="none"/>
        </w:rPr>
        <w:t xml:space="preserve">or finders </w:t>
      </w:r>
      <w:r w:rsidRPr="004865A1" w:rsidR="000A2805">
        <w:rPr>
          <w:rFonts w:eastAsiaTheme="minorHAnsi"/>
          <w:lang w:val="en-CA"/>
          <w14:ligatures w14:val="none"/>
        </w:rPr>
        <w:t>in connection with th</w:t>
      </w:r>
      <w:r w:rsidRPr="004865A1" w:rsidR="00572F3F">
        <w:rPr>
          <w:rFonts w:eastAsiaTheme="minorHAnsi"/>
          <w:lang w:val="en-CA"/>
          <w14:ligatures w14:val="none"/>
        </w:rPr>
        <w:t>e</w:t>
      </w:r>
      <w:r w:rsidRPr="004865A1" w:rsidR="000A2805">
        <w:rPr>
          <w:rFonts w:eastAsiaTheme="minorHAnsi"/>
          <w:lang w:val="en-CA"/>
          <w14:ligatures w14:val="none"/>
        </w:rPr>
        <w:t xml:space="preserve"> Offering. </w:t>
      </w:r>
      <w:r w:rsidRPr="001B2653" w:rsidR="001B2653">
        <w:rPr>
          <w:lang w:val="en-CA"/>
        </w:rPr>
        <w:t>However, the</w:t>
      </w:r>
      <w:r w:rsidR="001B2653">
        <w:rPr>
          <w:lang w:val="en-CA"/>
        </w:rPr>
        <w:t xml:space="preserve"> </w:t>
      </w:r>
      <w:r w:rsidRPr="001B2653" w:rsidR="001B2653">
        <w:rPr>
          <w:lang w:val="en-CA"/>
        </w:rPr>
        <w:t>Company may pay</w:t>
      </w:r>
      <w:r w:rsidR="001B2653">
        <w:rPr>
          <w:lang w:val="en-CA"/>
        </w:rPr>
        <w:t xml:space="preserve"> </w:t>
      </w:r>
      <w:r w:rsidRPr="001B2653" w:rsidR="001B2653">
        <w:rPr>
          <w:lang w:val="en-CA"/>
        </w:rPr>
        <w:t>certain eligible</w:t>
      </w:r>
      <w:r w:rsidR="001B2653">
        <w:rPr>
          <w:lang w:val="en-CA"/>
        </w:rPr>
        <w:t xml:space="preserve"> </w:t>
      </w:r>
      <w:r w:rsidRPr="001B2653" w:rsidR="001B2653">
        <w:rPr>
          <w:lang w:val="en-CA"/>
        </w:rPr>
        <w:t>finders a</w:t>
      </w:r>
      <w:r w:rsidR="001B2653">
        <w:rPr>
          <w:lang w:val="en-CA"/>
        </w:rPr>
        <w:t xml:space="preserve"> </w:t>
      </w:r>
      <w:r w:rsidRPr="001B2653" w:rsidR="001B2653">
        <w:rPr>
          <w:lang w:val="en-CA"/>
        </w:rPr>
        <w:t>cash</w:t>
      </w:r>
      <w:r w:rsidR="001B2653">
        <w:rPr>
          <w:lang w:val="en-CA"/>
        </w:rPr>
        <w:t xml:space="preserve"> </w:t>
      </w:r>
      <w:r w:rsidRPr="001B2653" w:rsidR="001B2653">
        <w:rPr>
          <w:lang w:val="en-CA"/>
        </w:rPr>
        <w:t>fee of up to 10% of the</w:t>
      </w:r>
      <w:r w:rsidR="001B2653">
        <w:rPr>
          <w:lang w:val="en-CA"/>
        </w:rPr>
        <w:t xml:space="preserve"> </w:t>
      </w:r>
      <w:r w:rsidRPr="001B2653" w:rsidR="001B2653">
        <w:rPr>
          <w:lang w:val="en-CA"/>
        </w:rPr>
        <w:t>gross proceeds raised in respect of the</w:t>
      </w:r>
      <w:r w:rsidR="001B2653">
        <w:rPr>
          <w:lang w:val="en-CA"/>
        </w:rPr>
        <w:t xml:space="preserve"> </w:t>
      </w:r>
      <w:r w:rsidRPr="001B2653" w:rsidR="001B2653">
        <w:rPr>
          <w:lang w:val="en-CA"/>
        </w:rPr>
        <w:t>Offering</w:t>
      </w:r>
      <w:r w:rsidR="001B2653">
        <w:rPr>
          <w:lang w:val="en-CA"/>
        </w:rPr>
        <w:t xml:space="preserve"> </w:t>
      </w:r>
      <w:r w:rsidRPr="001B2653" w:rsidR="001B2653">
        <w:rPr>
          <w:lang w:val="en-CA"/>
        </w:rPr>
        <w:t>from subscribers introduced by such finders to the Company</w:t>
      </w:r>
      <w:r w:rsidR="001B2653">
        <w:rPr>
          <w:lang w:val="en-CA"/>
        </w:rPr>
        <w:t>.</w:t>
      </w:r>
    </w:p>
    <w:p w:rsidR="00245FF3" w:rsidP="001B39A1" w:rsidRDefault="00245FF3" w14:paraId="436E2506" w14:textId="77777777">
      <w:pPr>
        <w:pStyle w:val="Heading1"/>
        <w:keepNext/>
        <w:numPr>
          <w:ilvl w:val="0"/>
          <w:numId w:val="0"/>
        </w:numPr>
        <w:spacing w:before="1"/>
        <w:jc w:val="left"/>
        <w:rPr>
          <w:rFonts w:cs="Times New Roman"/>
          <w:b/>
          <w:bCs w:val="0"/>
          <w:szCs w:val="22"/>
        </w:rPr>
      </w:pPr>
    </w:p>
    <w:p w:rsidRPr="00422514" w:rsidR="009539B6" w:rsidP="001B39A1" w:rsidRDefault="009539B6" w14:paraId="42397BE6" w14:textId="7DE7DF4A">
      <w:pPr>
        <w:pStyle w:val="Heading1"/>
        <w:keepNext/>
        <w:numPr>
          <w:ilvl w:val="0"/>
          <w:numId w:val="0"/>
        </w:numPr>
        <w:spacing w:before="1"/>
        <w:jc w:val="left"/>
        <w:rPr>
          <w:rFonts w:cs="Times New Roman"/>
          <w:b/>
          <w:bCs w:val="0"/>
          <w:szCs w:val="22"/>
        </w:rPr>
      </w:pPr>
      <w:r w:rsidRPr="00422514">
        <w:rPr>
          <w:rFonts w:cs="Times New Roman"/>
          <w:b/>
          <w:bCs w:val="0"/>
          <w:szCs w:val="22"/>
        </w:rPr>
        <w:t>PART 5</w:t>
      </w:r>
      <w:r w:rsidRPr="00422514">
        <w:rPr>
          <w:rFonts w:cs="Times New Roman"/>
          <w:b/>
          <w:bCs w:val="0"/>
          <w:szCs w:val="22"/>
        </w:rPr>
        <w:tab/>
        <w:t>PURCHASERS’ RIGHTS</w:t>
      </w:r>
    </w:p>
    <w:p w:rsidRPr="009539B6" w:rsidR="009539B6" w:rsidP="001B39A1" w:rsidRDefault="009539B6" w14:paraId="3253039E" w14:textId="77777777">
      <w:pPr>
        <w:pStyle w:val="BodyText"/>
        <w:keepNext/>
        <w:spacing w:before="10"/>
        <w:rPr>
          <w:b/>
        </w:rPr>
      </w:pPr>
    </w:p>
    <w:p w:rsidRPr="009539B6" w:rsidR="009539B6" w:rsidP="001B39A1" w:rsidRDefault="009539B6" w14:paraId="35BE8ECE" w14:textId="77777777">
      <w:pPr>
        <w:keepNext/>
        <w:jc w:val="both"/>
        <w:rPr>
          <w:b/>
          <w:iCs/>
        </w:rPr>
      </w:pPr>
      <w:r w:rsidRPr="009539B6">
        <w:rPr>
          <w:b/>
          <w:iCs/>
        </w:rPr>
        <w:t>Rights of Action in the Event of a Misrepresentation</w:t>
      </w:r>
    </w:p>
    <w:p w:rsidRPr="009539B6" w:rsidR="009539B6" w:rsidP="002E20F6" w:rsidRDefault="009539B6" w14:paraId="6A793679" w14:textId="77777777">
      <w:pPr>
        <w:pStyle w:val="BodyText"/>
        <w:spacing w:before="8"/>
        <w:rPr>
          <w:b/>
          <w:i/>
        </w:rPr>
      </w:pPr>
    </w:p>
    <w:p w:rsidRPr="009539B6" w:rsidR="009539B6" w:rsidP="002E20F6" w:rsidRDefault="009539B6" w14:paraId="472B9E4B" w14:textId="77777777">
      <w:pPr>
        <w:jc w:val="both"/>
        <w:rPr>
          <w:b/>
        </w:rPr>
      </w:pPr>
      <w:r w:rsidRPr="009539B6">
        <w:rPr>
          <w:b/>
        </w:rPr>
        <w:t>If there is a misrepresentation in this offering document, you have a right:</w:t>
      </w:r>
    </w:p>
    <w:p w:rsidRPr="009539B6" w:rsidR="009539B6" w:rsidP="002E20F6" w:rsidRDefault="009539B6" w14:paraId="6F647105" w14:textId="77777777">
      <w:pPr>
        <w:pStyle w:val="BodyText"/>
        <w:spacing w:before="10"/>
        <w:rPr>
          <w:b/>
        </w:rPr>
      </w:pPr>
    </w:p>
    <w:p w:rsidRPr="001313A5" w:rsidR="009539B6" w:rsidP="001313A5" w:rsidRDefault="009539B6" w14:paraId="633568D3" w14:textId="754BE2E7">
      <w:pPr>
        <w:pStyle w:val="ListParagraph"/>
        <w:numPr>
          <w:ilvl w:val="0"/>
          <w:numId w:val="19"/>
        </w:numPr>
        <w:tabs>
          <w:tab w:val="left" w:pos="1539"/>
          <w:tab w:val="left" w:pos="1540"/>
        </w:tabs>
        <w:ind w:left="720"/>
        <w:contextualSpacing w:val="0"/>
        <w:jc w:val="both"/>
        <w:rPr>
          <w:b/>
        </w:rPr>
      </w:pPr>
      <w:r w:rsidRPr="00444250">
        <w:rPr>
          <w:b/>
        </w:rPr>
        <w:t>to rescind your purchase of these securities with the Company,</w:t>
      </w:r>
      <w:r w:rsidRPr="00444250">
        <w:rPr>
          <w:b/>
          <w:spacing w:val="-1"/>
        </w:rPr>
        <w:t xml:space="preserve"> </w:t>
      </w:r>
      <w:r w:rsidRPr="00444250">
        <w:rPr>
          <w:b/>
        </w:rPr>
        <w:t>or</w:t>
      </w:r>
    </w:p>
    <w:p w:rsidRPr="001313A5" w:rsidR="009539B6" w:rsidP="00000DF4" w:rsidRDefault="009539B6" w14:paraId="00941F04" w14:textId="11F61AE9">
      <w:pPr>
        <w:pStyle w:val="ListParagraph"/>
        <w:numPr>
          <w:ilvl w:val="0"/>
          <w:numId w:val="19"/>
        </w:numPr>
        <w:tabs>
          <w:tab w:val="left" w:pos="1539"/>
          <w:tab w:val="left" w:pos="1540"/>
        </w:tabs>
        <w:ind w:left="720"/>
        <w:contextualSpacing w:val="0"/>
        <w:jc w:val="both"/>
        <w:rPr>
          <w:b/>
        </w:rPr>
      </w:pPr>
      <w:r w:rsidRPr="00444250">
        <w:rPr>
          <w:b/>
        </w:rPr>
        <w:t>to damages against the Company and may, in certain jurisdictions, have a statutory right to damages from other</w:t>
      </w:r>
      <w:r w:rsidRPr="00444250">
        <w:rPr>
          <w:b/>
          <w:spacing w:val="-4"/>
        </w:rPr>
        <w:t xml:space="preserve"> </w:t>
      </w:r>
      <w:r w:rsidRPr="00444250">
        <w:rPr>
          <w:b/>
        </w:rPr>
        <w:t>persons.</w:t>
      </w:r>
    </w:p>
    <w:p w:rsidR="003C5389" w:rsidP="00000DF4" w:rsidRDefault="003C5389" w14:paraId="75E93C73" w14:textId="77777777">
      <w:pPr>
        <w:jc w:val="both"/>
        <w:rPr>
          <w:b/>
        </w:rPr>
      </w:pPr>
    </w:p>
    <w:p w:rsidR="009539B6" w:rsidP="00000DF4" w:rsidRDefault="009539B6" w14:paraId="58936E19" w14:textId="584F5127">
      <w:pPr>
        <w:jc w:val="both"/>
        <w:rPr>
          <w:b/>
        </w:rPr>
      </w:pPr>
      <w:r w:rsidRPr="009539B6">
        <w:rPr>
          <w:b/>
        </w:rPr>
        <w:t>These rights are available to you whether or not you relied on the misrepresentation. However, there are various circumstances that limit your rights. In particular, your rights might be limited if you knew of the misrepresentation when you purchased the Units.</w:t>
      </w:r>
    </w:p>
    <w:p w:rsidRPr="009539B6" w:rsidR="00000DF4" w:rsidP="00000DF4" w:rsidRDefault="00000DF4" w14:paraId="6A32AB81" w14:textId="77777777">
      <w:pPr>
        <w:jc w:val="both"/>
        <w:rPr>
          <w:b/>
        </w:rPr>
      </w:pPr>
    </w:p>
    <w:p w:rsidRPr="009539B6" w:rsidR="009539B6" w:rsidP="002E20F6" w:rsidRDefault="009539B6" w14:paraId="2AF39F55" w14:textId="77777777">
      <w:pPr>
        <w:jc w:val="both"/>
        <w:rPr>
          <w:b/>
        </w:rPr>
      </w:pPr>
      <w:r w:rsidRPr="009539B6">
        <w:rPr>
          <w:b/>
        </w:rPr>
        <w:t>If you intend to rely on the rights described in paragraph (a) or (b) above, you must do so within strict time limitations.</w:t>
      </w:r>
    </w:p>
    <w:p w:rsidRPr="009539B6" w:rsidR="009539B6" w:rsidP="002E20F6" w:rsidRDefault="009539B6" w14:paraId="5F344915" w14:textId="77777777">
      <w:pPr>
        <w:jc w:val="both"/>
      </w:pPr>
    </w:p>
    <w:p w:rsidRPr="009539B6" w:rsidR="009539B6" w:rsidP="002E20F6" w:rsidRDefault="009539B6" w14:paraId="73E49639" w14:textId="77777777">
      <w:pPr>
        <w:jc w:val="both"/>
        <w:rPr>
          <w:b/>
        </w:rPr>
      </w:pPr>
      <w:r w:rsidRPr="009539B6">
        <w:rPr>
          <w:b/>
        </w:rPr>
        <w:t>You should refer to any applicable provisions of the securities legislation of your province or territory for the particulars of these rights or consult with a legal adviser.</w:t>
      </w:r>
    </w:p>
    <w:p w:rsidRPr="009539B6" w:rsidR="009539B6" w:rsidP="002E20F6" w:rsidRDefault="009539B6" w14:paraId="2364029E" w14:textId="77777777">
      <w:pPr>
        <w:pStyle w:val="BodyText"/>
        <w:spacing w:before="11"/>
        <w:rPr>
          <w:b/>
        </w:rPr>
      </w:pPr>
    </w:p>
    <w:p w:rsidRPr="00DB5A8A" w:rsidR="009539B6" w:rsidP="002E20F6" w:rsidRDefault="009539B6" w14:paraId="4EC52F41" w14:textId="77777777">
      <w:pPr>
        <w:rPr>
          <w:b/>
        </w:rPr>
      </w:pPr>
      <w:r w:rsidRPr="00DB5A8A">
        <w:rPr>
          <w:b/>
        </w:rPr>
        <w:t>PART 6</w:t>
      </w:r>
      <w:r w:rsidRPr="00DB5A8A">
        <w:rPr>
          <w:b/>
        </w:rPr>
        <w:tab/>
        <w:t>ADDITIONAL INFORMATION</w:t>
      </w:r>
    </w:p>
    <w:p w:rsidRPr="009539B6" w:rsidR="009539B6" w:rsidP="002E20F6" w:rsidRDefault="009539B6" w14:paraId="7DB2B1DE" w14:textId="77777777">
      <w:pPr>
        <w:pStyle w:val="BodyText"/>
        <w:spacing w:before="8"/>
        <w:rPr>
          <w:b/>
        </w:rPr>
      </w:pPr>
    </w:p>
    <w:p w:rsidRPr="009539B6" w:rsidR="009539B6" w:rsidP="002E20F6" w:rsidRDefault="009539B6" w14:paraId="4B5E8902" w14:textId="77777777">
      <w:pPr>
        <w:jc w:val="both"/>
        <w:rPr>
          <w:b/>
          <w:i/>
        </w:rPr>
      </w:pPr>
      <w:r w:rsidRPr="009539B6">
        <w:rPr>
          <w:b/>
          <w:i/>
        </w:rPr>
        <w:t>Where can you find more information about us?</w:t>
      </w:r>
    </w:p>
    <w:p w:rsidR="00000DF4" w:rsidP="00000DF4" w:rsidRDefault="00000DF4" w14:paraId="4AC291D6" w14:textId="77777777">
      <w:pPr>
        <w:pStyle w:val="BodyText"/>
        <w:spacing w:before="0"/>
      </w:pPr>
    </w:p>
    <w:p w:rsidRPr="009539B6" w:rsidR="009539B6" w:rsidP="00E23024" w:rsidRDefault="009539B6" w14:paraId="13F713D0" w14:textId="655A53FB">
      <w:pPr>
        <w:pStyle w:val="BodyText"/>
        <w:keepNext/>
        <w:keepLines/>
        <w:spacing w:before="0"/>
      </w:pPr>
      <w:r w:rsidRPr="009539B6">
        <w:t>The Company’s continuous disclosure filings with applicable securities regulatory authorities in the provinces and territories</w:t>
      </w:r>
      <w:r w:rsidRPr="009539B6">
        <w:rPr>
          <w:spacing w:val="-8"/>
        </w:rPr>
        <w:t xml:space="preserve"> </w:t>
      </w:r>
      <w:r w:rsidRPr="009539B6">
        <w:t>of</w:t>
      </w:r>
      <w:r w:rsidRPr="009539B6">
        <w:rPr>
          <w:spacing w:val="-8"/>
        </w:rPr>
        <w:t xml:space="preserve"> </w:t>
      </w:r>
      <w:r w:rsidRPr="009539B6">
        <w:t>Canada</w:t>
      </w:r>
      <w:r w:rsidRPr="009539B6">
        <w:rPr>
          <w:spacing w:val="-7"/>
        </w:rPr>
        <w:t xml:space="preserve"> </w:t>
      </w:r>
      <w:r w:rsidRPr="009539B6">
        <w:t>are</w:t>
      </w:r>
      <w:r w:rsidRPr="009539B6">
        <w:rPr>
          <w:spacing w:val="-7"/>
        </w:rPr>
        <w:t xml:space="preserve"> </w:t>
      </w:r>
      <w:r w:rsidRPr="009539B6">
        <w:t>available</w:t>
      </w:r>
      <w:r w:rsidRPr="009539B6">
        <w:rPr>
          <w:spacing w:val="-6"/>
        </w:rPr>
        <w:t xml:space="preserve"> </w:t>
      </w:r>
      <w:r w:rsidRPr="009539B6">
        <w:t>electronically</w:t>
      </w:r>
      <w:r w:rsidRPr="009539B6">
        <w:rPr>
          <w:spacing w:val="-9"/>
        </w:rPr>
        <w:t xml:space="preserve"> </w:t>
      </w:r>
      <w:r w:rsidRPr="009539B6">
        <w:t>under</w:t>
      </w:r>
      <w:r w:rsidRPr="009539B6">
        <w:rPr>
          <w:spacing w:val="-6"/>
        </w:rPr>
        <w:t xml:space="preserve"> </w:t>
      </w:r>
      <w:r w:rsidRPr="009539B6">
        <w:t>the</w:t>
      </w:r>
      <w:r w:rsidRPr="009539B6">
        <w:rPr>
          <w:spacing w:val="-5"/>
        </w:rPr>
        <w:t xml:space="preserve"> </w:t>
      </w:r>
      <w:r w:rsidRPr="009539B6">
        <w:t>Company’s</w:t>
      </w:r>
      <w:r w:rsidRPr="009539B6">
        <w:rPr>
          <w:spacing w:val="-8"/>
        </w:rPr>
        <w:t xml:space="preserve"> </w:t>
      </w:r>
      <w:r w:rsidRPr="009539B6">
        <w:t>profile</w:t>
      </w:r>
      <w:r w:rsidRPr="009539B6">
        <w:rPr>
          <w:spacing w:val="-7"/>
        </w:rPr>
        <w:t xml:space="preserve"> </w:t>
      </w:r>
      <w:r w:rsidRPr="009539B6">
        <w:t>on</w:t>
      </w:r>
      <w:r w:rsidRPr="009539B6">
        <w:rPr>
          <w:spacing w:val="-8"/>
        </w:rPr>
        <w:t xml:space="preserve"> </w:t>
      </w:r>
      <w:r w:rsidRPr="009539B6">
        <w:t>SEDAR</w:t>
      </w:r>
      <w:r w:rsidR="00A245B2">
        <w:t>+</w:t>
      </w:r>
      <w:r w:rsidRPr="009539B6">
        <w:t xml:space="preserve"> at</w:t>
      </w:r>
      <w:r w:rsidRPr="009539B6">
        <w:rPr>
          <w:spacing w:val="1"/>
        </w:rPr>
        <w:t xml:space="preserve"> </w:t>
      </w:r>
      <w:hyperlink w:history="1" r:id="rId9">
        <w:r w:rsidRPr="00324902" w:rsidR="00E23024">
          <w:rPr>
            <w:rStyle w:val="Hyperlink"/>
          </w:rPr>
          <w:t>www.sedarplus.com.</w:t>
        </w:r>
      </w:hyperlink>
    </w:p>
    <w:p w:rsidRPr="009539B6" w:rsidR="009539B6" w:rsidP="002E20F6" w:rsidRDefault="009539B6" w14:paraId="08BFD6D3" w14:textId="77777777">
      <w:pPr>
        <w:pStyle w:val="BodyText"/>
        <w:spacing w:before="1"/>
      </w:pPr>
    </w:p>
    <w:p w:rsidRPr="009539B6" w:rsidR="009539B6" w:rsidP="00000DF4" w:rsidRDefault="009539B6" w14:paraId="42A12256" w14:textId="56BB041A">
      <w:pPr>
        <w:pStyle w:val="BodyText"/>
        <w:spacing w:before="0"/>
        <w:rPr>
          <w:color w:val="0000FF"/>
          <w:u w:val="single" w:color="0000FF"/>
        </w:rPr>
      </w:pPr>
      <w:r w:rsidRPr="009539B6">
        <w:t xml:space="preserve">For further information regarding the Company, visit our website at: </w:t>
      </w:r>
      <w:hyperlink w:history="1" r:id="rId10">
        <w:r w:rsidRPr="00324902" w:rsidR="00E23024">
          <w:rPr>
            <w:rStyle w:val="Hyperlink"/>
          </w:rPr>
          <w:t>www.blastresources.com</w:t>
        </w:r>
      </w:hyperlink>
      <w:r w:rsidR="00E23024">
        <w:t xml:space="preserve">. </w:t>
      </w:r>
      <w:r w:rsidR="008B4B04">
        <w:rPr>
          <w:color w:val="0000FF"/>
          <w:u w:val="single" w:color="0000FF"/>
        </w:rPr>
        <w:t xml:space="preserve"> </w:t>
      </w:r>
    </w:p>
    <w:p w:rsidR="004865A1" w:rsidP="004865A1" w:rsidRDefault="004865A1" w14:paraId="7C10F000" w14:textId="77777777">
      <w:pPr>
        <w:widowControl/>
        <w:autoSpaceDE/>
        <w:autoSpaceDN/>
        <w:spacing w:line="259" w:lineRule="auto"/>
      </w:pPr>
    </w:p>
    <w:p w:rsidR="0011044E" w:rsidP="004865A1" w:rsidRDefault="004865A1" w14:paraId="3AAF143C" w14:textId="74B29592">
      <w:pPr>
        <w:widowControl/>
        <w:autoSpaceDE/>
        <w:autoSpaceDN/>
        <w:spacing w:after="160" w:line="259" w:lineRule="auto"/>
        <w:jc w:val="both"/>
      </w:pPr>
      <w:r w:rsidRPr="004865A1">
        <w:t>Potential investors should read this offering document and consult their own professional advisors to</w:t>
      </w:r>
      <w:r>
        <w:t xml:space="preserve"> </w:t>
      </w:r>
      <w:r w:rsidRPr="004865A1">
        <w:t xml:space="preserve">assess the income tax, legal, risk factors and other aspects of their investment of Units.  </w:t>
      </w:r>
      <w:r w:rsidR="0011044E">
        <w:br w:type="page"/>
      </w:r>
    </w:p>
    <w:p w:rsidRPr="00DB5A8A" w:rsidR="009539B6" w:rsidP="00E23024" w:rsidRDefault="009539B6" w14:paraId="69A81737" w14:textId="77777777">
      <w:pPr>
        <w:pStyle w:val="BodyText"/>
        <w:keepNext/>
        <w:keepLines/>
        <w:spacing w:before="0"/>
        <w:rPr>
          <w:b/>
        </w:rPr>
      </w:pPr>
      <w:r w:rsidRPr="00DB5A8A">
        <w:rPr>
          <w:b/>
        </w:rPr>
        <w:lastRenderedPageBreak/>
        <w:t>PART 7</w:t>
      </w:r>
      <w:r w:rsidRPr="00DB5A8A">
        <w:rPr>
          <w:b/>
        </w:rPr>
        <w:tab/>
        <w:t>DATE AND CERTIFICATE</w:t>
      </w:r>
    </w:p>
    <w:p w:rsidR="00000DF4" w:rsidP="00E23024" w:rsidRDefault="00000DF4" w14:paraId="5F9D717E" w14:textId="77777777">
      <w:pPr>
        <w:pStyle w:val="BodyText"/>
        <w:keepNext/>
        <w:keepLines/>
        <w:spacing w:before="0"/>
        <w:rPr>
          <w:b/>
          <w:bCs/>
        </w:rPr>
      </w:pPr>
    </w:p>
    <w:p w:rsidRPr="009539B6" w:rsidR="009539B6" w:rsidP="00E23024" w:rsidRDefault="009539B6" w14:paraId="4A9C2F4E" w14:textId="7DDD8253">
      <w:pPr>
        <w:pStyle w:val="BodyText"/>
        <w:keepNext/>
        <w:keepLines/>
        <w:spacing w:before="0"/>
        <w:rPr>
          <w:b/>
          <w:bCs/>
        </w:rPr>
      </w:pPr>
      <w:r w:rsidRPr="009539B6">
        <w:rPr>
          <w:b/>
          <w:bCs/>
        </w:rPr>
        <w:t>This offering document, together with any document filed under Canadian securities legislation on or after</w:t>
      </w:r>
      <w:r w:rsidR="00A245B2">
        <w:rPr>
          <w:b/>
          <w:bCs/>
        </w:rPr>
        <w:t xml:space="preserve"> </w:t>
      </w:r>
      <w:r w:rsidR="000605D4">
        <w:rPr>
          <w:b/>
          <w:bCs/>
        </w:rPr>
        <w:t>December</w:t>
      </w:r>
      <w:r w:rsidR="00530483">
        <w:rPr>
          <w:b/>
          <w:bCs/>
        </w:rPr>
        <w:t xml:space="preserve"> </w:t>
      </w:r>
      <w:r w:rsidR="00226EF8">
        <w:rPr>
          <w:b/>
          <w:bCs/>
        </w:rPr>
        <w:t>10</w:t>
      </w:r>
      <w:r w:rsidRPr="009539B6">
        <w:rPr>
          <w:b/>
          <w:bCs/>
        </w:rPr>
        <w:t xml:space="preserve">, </w:t>
      </w:r>
      <w:r w:rsidRPr="009539B6" w:rsidR="005822F8">
        <w:rPr>
          <w:b/>
          <w:bCs/>
        </w:rPr>
        <w:t>202</w:t>
      </w:r>
      <w:r w:rsidR="00530483">
        <w:rPr>
          <w:b/>
          <w:bCs/>
        </w:rPr>
        <w:t>5</w:t>
      </w:r>
      <w:r w:rsidRPr="009539B6" w:rsidR="005822F8">
        <w:rPr>
          <w:b/>
          <w:bCs/>
        </w:rPr>
        <w:t xml:space="preserve"> </w:t>
      </w:r>
      <w:r w:rsidRPr="009539B6">
        <w:rPr>
          <w:b/>
          <w:bCs/>
        </w:rPr>
        <w:t>contains disclosure of all material facts about the securities being distributed and does not contain a misrepresentation.</w:t>
      </w:r>
    </w:p>
    <w:p w:rsidRPr="009539B6" w:rsidR="009539B6" w:rsidP="009539B6" w:rsidRDefault="009539B6" w14:paraId="64CFA1F8" w14:textId="77777777">
      <w:pPr>
        <w:pStyle w:val="BodyText"/>
        <w:spacing w:before="4"/>
      </w:pPr>
    </w:p>
    <w:tbl>
      <w:tblPr>
        <w:tblStyle w:val="TableGrid"/>
        <w:tblW w:w="4885"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8"/>
        <w:gridCol w:w="451"/>
        <w:gridCol w:w="4787"/>
      </w:tblGrid>
      <w:tr w:rsidRPr="009539B6" w:rsidR="009539B6" w:rsidTr="00971935" w14:paraId="33655911" w14:textId="77777777">
        <w:tc>
          <w:tcPr>
            <w:tcW w:w="2201" w:type="pct"/>
            <w:tcBorders>
              <w:bottom w:val="single" w:color="auto" w:sz="4" w:space="0"/>
            </w:tcBorders>
          </w:tcPr>
          <w:p w:rsidRPr="00000DF4" w:rsidR="009539B6" w:rsidP="006E34DB" w:rsidRDefault="009539B6" w14:paraId="0C8590BF" w14:textId="4A34E296">
            <w:pPr>
              <w:pStyle w:val="BodyText"/>
              <w:spacing w:before="91"/>
              <w:rPr>
                <w:b/>
                <w:bCs/>
                <w:sz w:val="22"/>
              </w:rPr>
            </w:pPr>
            <w:r w:rsidRPr="00000DF4">
              <w:rPr>
                <w:b/>
                <w:bCs/>
                <w:sz w:val="22"/>
              </w:rPr>
              <w:t xml:space="preserve">Dated: </w:t>
            </w:r>
            <w:r w:rsidR="000605D4">
              <w:rPr>
                <w:b/>
                <w:bCs/>
                <w:sz w:val="22"/>
              </w:rPr>
              <w:t xml:space="preserve">December </w:t>
            </w:r>
            <w:r w:rsidR="00226EF8">
              <w:rPr>
                <w:b/>
                <w:bCs/>
                <w:sz w:val="22"/>
              </w:rPr>
              <w:t>10</w:t>
            </w:r>
            <w:r w:rsidRPr="00000DF4">
              <w:rPr>
                <w:b/>
                <w:bCs/>
                <w:sz w:val="22"/>
              </w:rPr>
              <w:t>, 202</w:t>
            </w:r>
            <w:r w:rsidR="001409E1">
              <w:rPr>
                <w:b/>
                <w:bCs/>
                <w:sz w:val="22"/>
              </w:rPr>
              <w:t>5</w:t>
            </w:r>
          </w:p>
          <w:p w:rsidRPr="009539B6" w:rsidR="009539B6" w:rsidP="006E34DB" w:rsidRDefault="009539B6" w14:paraId="7B0EA734" w14:textId="77777777">
            <w:pPr>
              <w:pStyle w:val="BodyText"/>
              <w:spacing w:before="91"/>
              <w:rPr>
                <w:b/>
                <w:bCs/>
              </w:rPr>
            </w:pPr>
          </w:p>
          <w:p w:rsidRPr="00755D44" w:rsidR="009539B6" w:rsidP="006E34DB" w:rsidRDefault="00755D44" w14:paraId="04243DC2" w14:textId="46C5409A">
            <w:pPr>
              <w:pStyle w:val="BodyText"/>
              <w:spacing w:before="91"/>
              <w:rPr>
                <w:i/>
                <w:iCs/>
                <w:sz w:val="22"/>
              </w:rPr>
            </w:pPr>
            <w:r>
              <w:rPr>
                <w:i/>
                <w:iCs/>
                <w:sz w:val="22"/>
              </w:rPr>
              <w:t>“</w:t>
            </w:r>
            <w:r w:rsidR="00245FF3">
              <w:rPr>
                <w:i/>
                <w:iCs/>
                <w:sz w:val="22"/>
              </w:rPr>
              <w:t>James Casey Forward</w:t>
            </w:r>
            <w:r>
              <w:rPr>
                <w:i/>
                <w:iCs/>
                <w:sz w:val="22"/>
              </w:rPr>
              <w:t>”</w:t>
            </w:r>
          </w:p>
        </w:tc>
        <w:tc>
          <w:tcPr>
            <w:tcW w:w="241" w:type="pct"/>
          </w:tcPr>
          <w:p w:rsidRPr="009539B6" w:rsidR="009539B6" w:rsidP="006E34DB" w:rsidRDefault="009539B6" w14:paraId="7D61DB65" w14:textId="77777777">
            <w:pPr>
              <w:pStyle w:val="BodyText"/>
              <w:spacing w:before="91"/>
              <w:rPr>
                <w:b/>
                <w:bCs/>
                <w:sz w:val="22"/>
              </w:rPr>
            </w:pPr>
          </w:p>
        </w:tc>
        <w:tc>
          <w:tcPr>
            <w:tcW w:w="2558" w:type="pct"/>
            <w:tcBorders>
              <w:bottom w:val="single" w:color="auto" w:sz="4" w:space="0"/>
            </w:tcBorders>
          </w:tcPr>
          <w:p w:rsidR="009539B6" w:rsidP="006E34DB" w:rsidRDefault="009539B6" w14:paraId="797733E9" w14:textId="77777777">
            <w:pPr>
              <w:pStyle w:val="BodyText"/>
              <w:spacing w:before="91"/>
              <w:rPr>
                <w:b/>
                <w:bCs/>
                <w:sz w:val="22"/>
              </w:rPr>
            </w:pPr>
          </w:p>
          <w:p w:rsidRPr="00755D44" w:rsidR="00755D44" w:rsidP="006E34DB" w:rsidRDefault="00755D44" w14:paraId="03B4ED69" w14:textId="77777777">
            <w:pPr>
              <w:pStyle w:val="BodyText"/>
              <w:spacing w:before="91"/>
              <w:rPr>
                <w:sz w:val="22"/>
              </w:rPr>
            </w:pPr>
          </w:p>
          <w:p w:rsidRPr="00755D44" w:rsidR="00755D44" w:rsidP="006E34DB" w:rsidRDefault="00755D44" w14:paraId="2E2A9A11" w14:textId="7005BE99">
            <w:pPr>
              <w:pStyle w:val="BodyText"/>
              <w:spacing w:before="91"/>
              <w:rPr>
                <w:b/>
                <w:bCs/>
                <w:i/>
                <w:iCs/>
                <w:sz w:val="22"/>
              </w:rPr>
            </w:pPr>
            <w:r w:rsidRPr="00755D44">
              <w:rPr>
                <w:i/>
                <w:iCs/>
                <w:sz w:val="22"/>
              </w:rPr>
              <w:t>“Derek Tam”</w:t>
            </w:r>
          </w:p>
        </w:tc>
      </w:tr>
      <w:tr w:rsidRPr="009539B6" w:rsidR="009539B6" w:rsidTr="00971935" w14:paraId="2D7542AC" w14:textId="77777777">
        <w:trPr>
          <w:trHeight w:val="844"/>
        </w:trPr>
        <w:tc>
          <w:tcPr>
            <w:tcW w:w="2201" w:type="pct"/>
            <w:tcBorders>
              <w:top w:val="single" w:color="auto" w:sz="4" w:space="0"/>
            </w:tcBorders>
          </w:tcPr>
          <w:p w:rsidRPr="009539B6" w:rsidR="009539B6" w:rsidP="006E34DB" w:rsidRDefault="00245FF3" w14:paraId="5216A150" w14:textId="21D74985">
            <w:pPr>
              <w:pStyle w:val="BodyText"/>
              <w:spacing w:before="91"/>
              <w:rPr>
                <w:sz w:val="22"/>
              </w:rPr>
            </w:pPr>
            <w:r>
              <w:rPr>
                <w:sz w:val="22"/>
              </w:rPr>
              <w:t>James Casey Forward</w:t>
            </w:r>
          </w:p>
          <w:p w:rsidRPr="009539B6" w:rsidR="009539B6" w:rsidP="006E34DB" w:rsidRDefault="009539B6" w14:paraId="4937667C" w14:textId="558F54AE">
            <w:pPr>
              <w:pStyle w:val="BodyText"/>
              <w:spacing w:before="91"/>
              <w:rPr>
                <w:b/>
                <w:bCs/>
                <w:sz w:val="22"/>
              </w:rPr>
            </w:pPr>
            <w:r w:rsidRPr="009539B6">
              <w:rPr>
                <w:sz w:val="22"/>
              </w:rPr>
              <w:t xml:space="preserve">Chief Executive Officer </w:t>
            </w:r>
          </w:p>
        </w:tc>
        <w:tc>
          <w:tcPr>
            <w:tcW w:w="241" w:type="pct"/>
          </w:tcPr>
          <w:p w:rsidRPr="009539B6" w:rsidR="009539B6" w:rsidP="006E34DB" w:rsidRDefault="009539B6" w14:paraId="6D637684" w14:textId="77777777">
            <w:pPr>
              <w:pStyle w:val="BodyText"/>
              <w:spacing w:before="91"/>
              <w:rPr>
                <w:sz w:val="22"/>
              </w:rPr>
            </w:pPr>
          </w:p>
        </w:tc>
        <w:tc>
          <w:tcPr>
            <w:tcW w:w="2558" w:type="pct"/>
            <w:tcBorders>
              <w:top w:val="single" w:color="auto" w:sz="4" w:space="0"/>
            </w:tcBorders>
          </w:tcPr>
          <w:p w:rsidRPr="009539B6" w:rsidR="009539B6" w:rsidP="006E34DB" w:rsidRDefault="006A0FEB" w14:paraId="1BC68D22" w14:textId="6175D231">
            <w:pPr>
              <w:pStyle w:val="BodyText"/>
              <w:spacing w:before="91"/>
              <w:rPr>
                <w:sz w:val="22"/>
              </w:rPr>
            </w:pPr>
            <w:r>
              <w:rPr>
                <w:sz w:val="22"/>
              </w:rPr>
              <w:t>Derek Tam</w:t>
            </w:r>
          </w:p>
          <w:p w:rsidRPr="009539B6" w:rsidR="009539B6" w:rsidP="006E34DB" w:rsidRDefault="009539B6" w14:paraId="2B210979" w14:textId="38DA3945">
            <w:pPr>
              <w:pStyle w:val="BodyText"/>
              <w:spacing w:before="91"/>
              <w:rPr>
                <w:sz w:val="22"/>
              </w:rPr>
            </w:pPr>
            <w:r w:rsidRPr="009539B6">
              <w:rPr>
                <w:sz w:val="22"/>
              </w:rPr>
              <w:t xml:space="preserve">Chief Financial Officer </w:t>
            </w:r>
          </w:p>
        </w:tc>
      </w:tr>
    </w:tbl>
    <w:p w:rsidR="00CE453E" w:rsidP="005555A3" w:rsidRDefault="00CE453E" w14:paraId="1B5A03AD" w14:textId="77777777">
      <w:pPr>
        <w:pStyle w:val="BodyText"/>
      </w:pPr>
    </w:p>
    <w:sectPr w:rsidR="00CE453E" w:rsidSect="002A3E8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837" w:rsidP="00A87DD5" w:rsidRDefault="00E50837" w14:paraId="767A6F72" w14:textId="77777777">
      <w:r>
        <w:separator/>
      </w:r>
    </w:p>
  </w:endnote>
  <w:endnote w:type="continuationSeparator" w:id="0">
    <w:p w:rsidR="00E50837" w:rsidP="00A87DD5" w:rsidRDefault="00E50837" w14:paraId="289D37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B6B" w:rsidRDefault="00760B6B" w14:paraId="7668AB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10F2B" w:rsidR="002A3E85" w:rsidP="002A3E85" w:rsidRDefault="002A3E85" w14:paraId="30DC484B" w14:textId="21BAAFC3">
    <w:pPr>
      <w:pStyle w:val="Footer"/>
      <w:spacing w:line="180" w:lineRule="exac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B6B" w:rsidRDefault="00760B6B" w14:paraId="6664B7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837" w:rsidP="00A87DD5" w:rsidRDefault="00E50837" w14:paraId="5C9FF127" w14:textId="77777777">
      <w:r>
        <w:separator/>
      </w:r>
    </w:p>
  </w:footnote>
  <w:footnote w:type="continuationSeparator" w:id="0">
    <w:p w:rsidR="00E50837" w:rsidP="00A87DD5" w:rsidRDefault="00E50837" w14:paraId="562691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B6B" w:rsidRDefault="00760B6B" w14:paraId="439F6E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7DD5" w:rsidR="008D3C2C" w:rsidP="00A87DD5" w:rsidRDefault="008D3C2C" w14:paraId="79D81022" w14:textId="77777777">
    <w:pPr>
      <w:jc w:val="center"/>
      <w:rPr>
        <w:szCs w:val="24"/>
      </w:rPr>
    </w:pPr>
    <w:r w:rsidRPr="00A87DD5">
      <w:rPr>
        <w:szCs w:val="24"/>
      </w:rPr>
      <w:t xml:space="preserve">- </w:t>
    </w:r>
    <w:r w:rsidRPr="00A87DD5">
      <w:rPr>
        <w:szCs w:val="24"/>
      </w:rPr>
      <w:fldChar w:fldCharType="begin"/>
    </w:r>
    <w:r w:rsidRPr="00A87DD5">
      <w:rPr>
        <w:szCs w:val="24"/>
      </w:rPr>
      <w:instrText xml:space="preserve"> PAGE </w:instrText>
    </w:r>
    <w:r w:rsidRPr="00A87DD5">
      <w:rPr>
        <w:szCs w:val="24"/>
      </w:rPr>
      <w:fldChar w:fldCharType="separate"/>
    </w:r>
    <w:r w:rsidRPr="00A87DD5">
      <w:rPr>
        <w:szCs w:val="24"/>
      </w:rPr>
      <w:t>2</w:t>
    </w:r>
    <w:r w:rsidRPr="00A87DD5">
      <w:rPr>
        <w:szCs w:val="24"/>
      </w:rPr>
      <w:fldChar w:fldCharType="end"/>
    </w:r>
    <w:r w:rsidRPr="00A87DD5">
      <w:rPr>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46110" w:rsidR="00682F92" w:rsidP="00A46110" w:rsidRDefault="00682F92" w14:paraId="576EEC27" w14:textId="32033600">
    <w:pPr>
      <w:pStyle w:val="Header"/>
      <w:jc w:val="right"/>
      <w:rPr>
        <w:b/>
        <w:bCs/>
        <w:color w:val="FF0000"/>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CA0C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7E21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C24C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1CF938"/>
    <w:lvl w:ilvl="0">
      <w:start w:val="1"/>
      <w:numFmt w:val="decimal"/>
      <w:lvlText w:val="%1."/>
      <w:lvlJc w:val="left"/>
      <w:pPr>
        <w:tabs>
          <w:tab w:val="num" w:pos="643"/>
        </w:tabs>
        <w:ind w:left="643" w:hanging="360"/>
      </w:pPr>
    </w:lvl>
  </w:abstractNum>
  <w:abstractNum w:abstractNumId="4" w15:restartNumberingAfterBreak="0">
    <w:nsid w:val="FFFFFF81"/>
    <w:multiLevelType w:val="singleLevel"/>
    <w:tmpl w:val="8E560C4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007358C6"/>
    <w:multiLevelType w:val="hybridMultilevel"/>
    <w:tmpl w:val="F1607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4FF5A14"/>
    <w:multiLevelType w:val="hybridMultilevel"/>
    <w:tmpl w:val="E500F008"/>
    <w:lvl w:ilvl="0" w:tplc="05F4AC46">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7A6F82"/>
    <w:multiLevelType w:val="hybridMultilevel"/>
    <w:tmpl w:val="5562F268"/>
    <w:lvl w:ilvl="0" w:tplc="10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EA62CE"/>
    <w:multiLevelType w:val="hybridMultilevel"/>
    <w:tmpl w:val="4508AEE4"/>
    <w:lvl w:ilvl="0" w:tplc="FFFFFFFF">
      <w:start w:val="1"/>
      <w:numFmt w:val="decimal"/>
      <w:lvlText w:val="%1."/>
      <w:lvlJc w:val="left"/>
      <w:pPr>
        <w:ind w:left="720" w:hanging="360"/>
      </w:pPr>
      <w:rPr>
        <w:rFonts w:hint="default"/>
      </w:rPr>
    </w:lvl>
    <w:lvl w:ilvl="1" w:tplc="1BE8155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BE4681"/>
    <w:multiLevelType w:val="hybridMultilevel"/>
    <w:tmpl w:val="ED2C56F4"/>
    <w:lvl w:ilvl="0" w:tplc="607AB67A">
      <w:start w:val="1"/>
      <w:numFmt w:val="bullet"/>
      <w:pStyle w:val="BulletBodySpecia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BD7CE8"/>
    <w:multiLevelType w:val="hybridMultilevel"/>
    <w:tmpl w:val="15163EC0"/>
    <w:lvl w:ilvl="0" w:tplc="D68AE9E8">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D76B78"/>
    <w:multiLevelType w:val="hybridMultilevel"/>
    <w:tmpl w:val="C1209D26"/>
    <w:lvl w:ilvl="0" w:tplc="ABF8F82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2CF22BE"/>
    <w:multiLevelType w:val="hybridMultilevel"/>
    <w:tmpl w:val="A0486AE0"/>
    <w:lvl w:ilvl="0" w:tplc="89F039BE">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7271B21"/>
    <w:multiLevelType w:val="multilevel"/>
    <w:tmpl w:val="AD2C0000"/>
    <w:lvl w:ilvl="0">
      <w:start w:val="1"/>
      <w:numFmt w:val="decimal"/>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B14D65"/>
    <w:multiLevelType w:val="hybridMultilevel"/>
    <w:tmpl w:val="4636038C"/>
    <w:lvl w:ilvl="0" w:tplc="75AEFCD0">
      <w:start w:val="1"/>
      <w:numFmt w:val="bullet"/>
      <w:pStyle w:val="BulletBody"/>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A71EC2"/>
    <w:multiLevelType w:val="hybridMultilevel"/>
    <w:tmpl w:val="A4165CCC"/>
    <w:lvl w:ilvl="0" w:tplc="FFFFFFFF">
      <w:start w:val="1"/>
      <w:numFmt w:val="decimal"/>
      <w:lvlText w:val="%1."/>
      <w:lvlJc w:val="left"/>
      <w:pPr>
        <w:ind w:left="720" w:hanging="360"/>
      </w:pPr>
      <w:rPr>
        <w:rFonts w:hint="default"/>
      </w:rPr>
    </w:lvl>
    <w:lvl w:ilvl="1" w:tplc="1BE8155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03668D"/>
    <w:multiLevelType w:val="hybridMultilevel"/>
    <w:tmpl w:val="C1209D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7330327"/>
    <w:multiLevelType w:val="hybridMultilevel"/>
    <w:tmpl w:val="2676EF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60806B8"/>
    <w:multiLevelType w:val="multilevel"/>
    <w:tmpl w:val="9CB07B3A"/>
    <w:lvl w:ilvl="0">
      <w:start w:val="1"/>
      <w:numFmt w:val="upperLetter"/>
      <w:pStyle w:val="Recital1"/>
      <w:lvlText w:val="%1."/>
      <w:lvlJc w:val="left"/>
      <w:pPr>
        <w:tabs>
          <w:tab w:val="num" w:pos="0"/>
        </w:tabs>
        <w:ind w:left="720" w:hanging="720"/>
      </w:pPr>
      <w:rPr>
        <w:rFonts w:hint="default"/>
      </w:rPr>
    </w:lvl>
    <w:lvl w:ilvl="1">
      <w:start w:val="1"/>
      <w:numFmt w:val="lowerLetter"/>
      <w:pStyle w:val="Recital2"/>
      <w:lvlText w:val="(%2)"/>
      <w:lvlJc w:val="left"/>
      <w:pPr>
        <w:tabs>
          <w:tab w:val="num" w:pos="1440"/>
        </w:tabs>
        <w:ind w:left="1440" w:hanging="720"/>
      </w:pPr>
      <w:rPr>
        <w:rFonts w:hint="default"/>
      </w:rPr>
    </w:lvl>
    <w:lvl w:ilvl="2">
      <w:start w:val="1"/>
      <w:numFmt w:val="lowerRoman"/>
      <w:pStyle w:val="Recital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C4436AB"/>
    <w:multiLevelType w:val="multilevel"/>
    <w:tmpl w:val="AEC666CA"/>
    <w:lvl w:ilvl="0">
      <w:start w:val="1"/>
      <w:numFmt w:val="decimal"/>
      <w:pStyle w:val="Heading1"/>
      <w:lvlText w:val="%1."/>
      <w:lvlJc w:val="left"/>
      <w:pPr>
        <w:tabs>
          <w:tab w:val="num" w:pos="720"/>
        </w:tabs>
        <w:ind w:left="720" w:hanging="720"/>
      </w:pPr>
      <w:rPr>
        <w:rFonts w:hint="default"/>
        <w:u w:val="none"/>
      </w:rPr>
    </w:lvl>
    <w:lvl w:ilvl="1">
      <w:start w:val="1"/>
      <w:numFmt w:val="lowerLetter"/>
      <w:pStyle w:val="Heading2"/>
      <w:lvlText w:val="(%2)"/>
      <w:lvlJc w:val="left"/>
      <w:pPr>
        <w:tabs>
          <w:tab w:val="num" w:pos="1440"/>
        </w:tabs>
        <w:ind w:left="1440" w:hanging="720"/>
      </w:pPr>
      <w:rPr>
        <w:rFonts w:hint="default"/>
        <w:u w:val="none"/>
      </w:rPr>
    </w:lvl>
    <w:lvl w:ilvl="2">
      <w:start w:val="1"/>
      <w:numFmt w:val="lowerRoman"/>
      <w:pStyle w:val="Heading3"/>
      <w:lvlText w:val="(%3)"/>
      <w:lvlJc w:val="left"/>
      <w:pPr>
        <w:tabs>
          <w:tab w:val="num" w:pos="2160"/>
        </w:tabs>
        <w:ind w:left="2160" w:hanging="720"/>
      </w:pPr>
      <w:rPr>
        <w:rFonts w:hint="default"/>
        <w:u w:val="none"/>
      </w:rPr>
    </w:lvl>
    <w:lvl w:ilvl="3">
      <w:start w:val="1"/>
      <w:numFmt w:val="upperLetter"/>
      <w:pStyle w:val="Heading4"/>
      <w:lvlText w:val="%4."/>
      <w:lvlJc w:val="left"/>
      <w:pPr>
        <w:tabs>
          <w:tab w:val="num" w:pos="2880"/>
        </w:tabs>
        <w:ind w:left="2880" w:hanging="720"/>
      </w:pPr>
      <w:rPr>
        <w:rFonts w:hint="default"/>
        <w:u w:val="none"/>
      </w:rPr>
    </w:lvl>
    <w:lvl w:ilvl="4">
      <w:start w:val="1"/>
      <w:numFmt w:val="decimal"/>
      <w:pStyle w:val="Heading5"/>
      <w:lvlText w:val="(%5)"/>
      <w:lvlJc w:val="left"/>
      <w:pPr>
        <w:tabs>
          <w:tab w:val="num" w:pos="3600"/>
        </w:tabs>
        <w:ind w:left="3600" w:hanging="720"/>
      </w:pPr>
      <w:rPr>
        <w:rFonts w:hint="default"/>
        <w:u w:val="none"/>
      </w:rPr>
    </w:lvl>
    <w:lvl w:ilvl="5">
      <w:start w:val="1"/>
      <w:numFmt w:val="lowerLetter"/>
      <w:pStyle w:val="Heading6"/>
      <w:lvlText w:val="%6."/>
      <w:lvlJc w:val="left"/>
      <w:pPr>
        <w:tabs>
          <w:tab w:val="num" w:pos="4320"/>
        </w:tabs>
        <w:ind w:left="4320" w:hanging="720"/>
      </w:pPr>
      <w:rPr>
        <w:rFonts w:hint="default"/>
        <w:u w:val="none"/>
      </w:rPr>
    </w:lvl>
    <w:lvl w:ilvl="6">
      <w:start w:val="1"/>
      <w:numFmt w:val="lowerRoman"/>
      <w:pStyle w:val="Heading7"/>
      <w:lvlText w:val="%7."/>
      <w:lvlJc w:val="left"/>
      <w:pPr>
        <w:tabs>
          <w:tab w:val="num" w:pos="5040"/>
        </w:tabs>
        <w:ind w:left="5040" w:hanging="720"/>
      </w:pPr>
      <w:rPr>
        <w:rFonts w:hint="default"/>
        <w:u w:val="none"/>
      </w:rPr>
    </w:lvl>
    <w:lvl w:ilvl="7">
      <w:start w:val="1"/>
      <w:numFmt w:val="upperLetter"/>
      <w:pStyle w:val="Heading8"/>
      <w:lvlText w:val="(%8)"/>
      <w:lvlJc w:val="left"/>
      <w:pPr>
        <w:tabs>
          <w:tab w:val="num" w:pos="5760"/>
        </w:tabs>
        <w:ind w:left="5760" w:hanging="720"/>
      </w:pPr>
      <w:rPr>
        <w:rFonts w:hint="default"/>
        <w:u w:val="none"/>
      </w:rPr>
    </w:lvl>
    <w:lvl w:ilvl="8">
      <w:start w:val="1"/>
      <w:numFmt w:val="upperLetter"/>
      <w:pStyle w:val="Heading9"/>
      <w:suff w:val="nothing"/>
      <w:lvlText w:val="Schedule “%9”"/>
      <w:lvlJc w:val="left"/>
      <w:pPr>
        <w:ind w:left="0" w:firstLine="0"/>
      </w:pPr>
      <w:rPr>
        <w:rFonts w:hint="default"/>
        <w:u w:val="none"/>
      </w:rPr>
    </w:lvl>
  </w:abstractNum>
  <w:abstractNum w:abstractNumId="20" w15:restartNumberingAfterBreak="0">
    <w:nsid w:val="6D953051"/>
    <w:multiLevelType w:val="hybridMultilevel"/>
    <w:tmpl w:val="8B1C4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3511B"/>
    <w:multiLevelType w:val="hybridMultilevel"/>
    <w:tmpl w:val="FBCC6CE4"/>
    <w:lvl w:ilvl="0" w:tplc="D5247D26">
      <w:start w:val="1"/>
      <w:numFmt w:val="lowerLetter"/>
      <w:lvlText w:val="(%1)"/>
      <w:lvlJc w:val="left"/>
      <w:pPr>
        <w:ind w:left="1540" w:hanging="720"/>
      </w:pPr>
      <w:rPr>
        <w:rFonts w:ascii="Times New Roman" w:eastAsia="Times New Roman" w:hAnsi="Times New Roman" w:cs="Times New Roman" w:hint="default"/>
        <w:b/>
        <w:bCs/>
        <w:color w:val="010000"/>
        <w:w w:val="99"/>
        <w:sz w:val="22"/>
        <w:szCs w:val="22"/>
      </w:rPr>
    </w:lvl>
    <w:lvl w:ilvl="1" w:tplc="B65688A4">
      <w:numFmt w:val="bullet"/>
      <w:lvlText w:val="•"/>
      <w:lvlJc w:val="left"/>
      <w:pPr>
        <w:ind w:left="2344" w:hanging="720"/>
      </w:pPr>
      <w:rPr>
        <w:rFonts w:hint="default"/>
      </w:rPr>
    </w:lvl>
    <w:lvl w:ilvl="2" w:tplc="6E74C122">
      <w:numFmt w:val="bullet"/>
      <w:lvlText w:val="•"/>
      <w:lvlJc w:val="left"/>
      <w:pPr>
        <w:ind w:left="3148" w:hanging="720"/>
      </w:pPr>
      <w:rPr>
        <w:rFonts w:hint="default"/>
      </w:rPr>
    </w:lvl>
    <w:lvl w:ilvl="3" w:tplc="C78A91A4">
      <w:numFmt w:val="bullet"/>
      <w:lvlText w:val="•"/>
      <w:lvlJc w:val="left"/>
      <w:pPr>
        <w:ind w:left="3952" w:hanging="720"/>
      </w:pPr>
      <w:rPr>
        <w:rFonts w:hint="default"/>
      </w:rPr>
    </w:lvl>
    <w:lvl w:ilvl="4" w:tplc="CA781756">
      <w:numFmt w:val="bullet"/>
      <w:lvlText w:val="•"/>
      <w:lvlJc w:val="left"/>
      <w:pPr>
        <w:ind w:left="4756" w:hanging="720"/>
      </w:pPr>
      <w:rPr>
        <w:rFonts w:hint="default"/>
      </w:rPr>
    </w:lvl>
    <w:lvl w:ilvl="5" w:tplc="7C26309A">
      <w:numFmt w:val="bullet"/>
      <w:lvlText w:val="•"/>
      <w:lvlJc w:val="left"/>
      <w:pPr>
        <w:ind w:left="5560" w:hanging="720"/>
      </w:pPr>
      <w:rPr>
        <w:rFonts w:hint="default"/>
      </w:rPr>
    </w:lvl>
    <w:lvl w:ilvl="6" w:tplc="DEB8EDEC">
      <w:numFmt w:val="bullet"/>
      <w:lvlText w:val="•"/>
      <w:lvlJc w:val="left"/>
      <w:pPr>
        <w:ind w:left="6364" w:hanging="720"/>
      </w:pPr>
      <w:rPr>
        <w:rFonts w:hint="default"/>
      </w:rPr>
    </w:lvl>
    <w:lvl w:ilvl="7" w:tplc="07B2AE5C">
      <w:numFmt w:val="bullet"/>
      <w:lvlText w:val="•"/>
      <w:lvlJc w:val="left"/>
      <w:pPr>
        <w:ind w:left="7168" w:hanging="720"/>
      </w:pPr>
      <w:rPr>
        <w:rFonts w:hint="default"/>
      </w:rPr>
    </w:lvl>
    <w:lvl w:ilvl="8" w:tplc="758ABCF4">
      <w:numFmt w:val="bullet"/>
      <w:lvlText w:val="•"/>
      <w:lvlJc w:val="left"/>
      <w:pPr>
        <w:ind w:left="7972" w:hanging="720"/>
      </w:pPr>
      <w:rPr>
        <w:rFonts w:hint="default"/>
      </w:rPr>
    </w:lvl>
  </w:abstractNum>
  <w:abstractNum w:abstractNumId="22" w15:restartNumberingAfterBreak="0">
    <w:nsid w:val="7D741EC4"/>
    <w:multiLevelType w:val="hybridMultilevel"/>
    <w:tmpl w:val="E04A37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F7D2DF3"/>
    <w:multiLevelType w:val="hybridMultilevel"/>
    <w:tmpl w:val="EFE48186"/>
    <w:lvl w:ilvl="0" w:tplc="77905A62">
      <w:numFmt w:val="bullet"/>
      <w:lvlText w:val=""/>
      <w:lvlJc w:val="left"/>
      <w:pPr>
        <w:ind w:left="820" w:hanging="360"/>
      </w:pPr>
      <w:rPr>
        <w:rFonts w:ascii="Symbol" w:eastAsia="Symbol" w:hAnsi="Symbol" w:cs="Symbol" w:hint="default"/>
        <w:w w:val="99"/>
        <w:sz w:val="20"/>
        <w:szCs w:val="20"/>
      </w:rPr>
    </w:lvl>
    <w:lvl w:ilvl="1" w:tplc="D7EE3E26">
      <w:start w:val="1"/>
      <w:numFmt w:val="upperLetter"/>
      <w:lvlText w:val="%2"/>
      <w:lvlJc w:val="left"/>
      <w:pPr>
        <w:ind w:left="1359" w:hanging="433"/>
      </w:pPr>
      <w:rPr>
        <w:rFonts w:hint="default"/>
        <w:w w:val="99"/>
      </w:rPr>
    </w:lvl>
    <w:lvl w:ilvl="2" w:tplc="90FE0C8C">
      <w:start w:val="1"/>
      <w:numFmt w:val="decimal"/>
      <w:lvlText w:val="(%3)"/>
      <w:lvlJc w:val="left"/>
      <w:pPr>
        <w:ind w:left="1813" w:hanging="454"/>
      </w:pPr>
      <w:rPr>
        <w:rFonts w:ascii="Times New Roman" w:eastAsia="Times New Roman" w:hAnsi="Times New Roman" w:cs="Times New Roman" w:hint="default"/>
        <w:spacing w:val="-1"/>
        <w:w w:val="100"/>
        <w:sz w:val="16"/>
        <w:szCs w:val="16"/>
      </w:rPr>
    </w:lvl>
    <w:lvl w:ilvl="3" w:tplc="DA662B2E">
      <w:numFmt w:val="bullet"/>
      <w:lvlText w:val="•"/>
      <w:lvlJc w:val="left"/>
      <w:pPr>
        <w:ind w:left="2230" w:hanging="454"/>
      </w:pPr>
      <w:rPr>
        <w:rFonts w:hint="default"/>
      </w:rPr>
    </w:lvl>
    <w:lvl w:ilvl="4" w:tplc="0A8AA128">
      <w:numFmt w:val="bullet"/>
      <w:lvlText w:val="•"/>
      <w:lvlJc w:val="left"/>
      <w:pPr>
        <w:ind w:left="2641" w:hanging="454"/>
      </w:pPr>
      <w:rPr>
        <w:rFonts w:hint="default"/>
      </w:rPr>
    </w:lvl>
    <w:lvl w:ilvl="5" w:tplc="152ECC94">
      <w:numFmt w:val="bullet"/>
      <w:lvlText w:val="•"/>
      <w:lvlJc w:val="left"/>
      <w:pPr>
        <w:ind w:left="3052" w:hanging="454"/>
      </w:pPr>
      <w:rPr>
        <w:rFonts w:hint="default"/>
      </w:rPr>
    </w:lvl>
    <w:lvl w:ilvl="6" w:tplc="E7AEB428">
      <w:numFmt w:val="bullet"/>
      <w:lvlText w:val="•"/>
      <w:lvlJc w:val="left"/>
      <w:pPr>
        <w:ind w:left="3463" w:hanging="454"/>
      </w:pPr>
      <w:rPr>
        <w:rFonts w:hint="default"/>
      </w:rPr>
    </w:lvl>
    <w:lvl w:ilvl="7" w:tplc="F58A5552">
      <w:numFmt w:val="bullet"/>
      <w:lvlText w:val="•"/>
      <w:lvlJc w:val="left"/>
      <w:pPr>
        <w:ind w:left="3874" w:hanging="454"/>
      </w:pPr>
      <w:rPr>
        <w:rFonts w:hint="default"/>
      </w:rPr>
    </w:lvl>
    <w:lvl w:ilvl="8" w:tplc="8B781E12">
      <w:numFmt w:val="bullet"/>
      <w:lvlText w:val="•"/>
      <w:lvlJc w:val="left"/>
      <w:pPr>
        <w:ind w:left="4285" w:hanging="454"/>
      </w:pPr>
      <w:rPr>
        <w:rFonts w:hint="default"/>
      </w:rPr>
    </w:lvl>
  </w:abstractNum>
  <w:num w:numId="1" w16cid:durableId="1902861293">
    <w:abstractNumId w:val="14"/>
  </w:num>
  <w:num w:numId="2" w16cid:durableId="1426339803">
    <w:abstractNumId w:val="9"/>
  </w:num>
  <w:num w:numId="3" w16cid:durableId="235359058">
    <w:abstractNumId w:val="18"/>
  </w:num>
  <w:num w:numId="4" w16cid:durableId="1339429842">
    <w:abstractNumId w:val="13"/>
  </w:num>
  <w:num w:numId="5" w16cid:durableId="981426850">
    <w:abstractNumId w:val="19"/>
  </w:num>
  <w:num w:numId="6" w16cid:durableId="928582773">
    <w:abstractNumId w:val="19"/>
  </w:num>
  <w:num w:numId="7" w16cid:durableId="1849757357">
    <w:abstractNumId w:val="19"/>
  </w:num>
  <w:num w:numId="8" w16cid:durableId="570316312">
    <w:abstractNumId w:val="19"/>
  </w:num>
  <w:num w:numId="9" w16cid:durableId="17587565">
    <w:abstractNumId w:val="19"/>
  </w:num>
  <w:num w:numId="10" w16cid:durableId="275143839">
    <w:abstractNumId w:val="19"/>
  </w:num>
  <w:num w:numId="11" w16cid:durableId="2051762551">
    <w:abstractNumId w:val="19"/>
  </w:num>
  <w:num w:numId="12" w16cid:durableId="1283265740">
    <w:abstractNumId w:val="19"/>
  </w:num>
  <w:num w:numId="13" w16cid:durableId="827289524">
    <w:abstractNumId w:val="19"/>
  </w:num>
  <w:num w:numId="14" w16cid:durableId="1649088726">
    <w:abstractNumId w:val="4"/>
  </w:num>
  <w:num w:numId="15" w16cid:durableId="1301880510">
    <w:abstractNumId w:val="3"/>
  </w:num>
  <w:num w:numId="16" w16cid:durableId="840465905">
    <w:abstractNumId w:val="2"/>
  </w:num>
  <w:num w:numId="17" w16cid:durableId="303050287">
    <w:abstractNumId w:val="1"/>
  </w:num>
  <w:num w:numId="18" w16cid:durableId="2021740694">
    <w:abstractNumId w:val="0"/>
  </w:num>
  <w:num w:numId="19" w16cid:durableId="1046375869">
    <w:abstractNumId w:val="21"/>
  </w:num>
  <w:num w:numId="20" w16cid:durableId="999770147">
    <w:abstractNumId w:val="23"/>
  </w:num>
  <w:num w:numId="21" w16cid:durableId="994529396">
    <w:abstractNumId w:val="6"/>
  </w:num>
  <w:num w:numId="22" w16cid:durableId="1091125197">
    <w:abstractNumId w:val="8"/>
  </w:num>
  <w:num w:numId="23" w16cid:durableId="1549759771">
    <w:abstractNumId w:val="7"/>
  </w:num>
  <w:num w:numId="24" w16cid:durableId="1852912990">
    <w:abstractNumId w:val="15"/>
  </w:num>
  <w:num w:numId="25" w16cid:durableId="143009914">
    <w:abstractNumId w:val="17"/>
  </w:num>
  <w:num w:numId="26" w16cid:durableId="1526216255">
    <w:abstractNumId w:val="20"/>
  </w:num>
  <w:num w:numId="27" w16cid:durableId="1596935386">
    <w:abstractNumId w:val="5"/>
  </w:num>
  <w:num w:numId="28" w16cid:durableId="947350747">
    <w:abstractNumId w:val="11"/>
  </w:num>
  <w:num w:numId="29" w16cid:durableId="375812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9323289">
    <w:abstractNumId w:val="10"/>
  </w:num>
  <w:num w:numId="31" w16cid:durableId="113721571">
    <w:abstractNumId w:val="22"/>
  </w:num>
  <w:num w:numId="32" w16cid:durableId="161551312">
    <w:abstractNumId w:val="16"/>
  </w:num>
  <w:num w:numId="33" w16cid:durableId="27265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39B6"/>
    <w:rsid w:val="0000088F"/>
    <w:rsid w:val="00000DF4"/>
    <w:rsid w:val="00006130"/>
    <w:rsid w:val="00020638"/>
    <w:rsid w:val="0002162E"/>
    <w:rsid w:val="00023AD2"/>
    <w:rsid w:val="00030FD3"/>
    <w:rsid w:val="00056E8A"/>
    <w:rsid w:val="000605D4"/>
    <w:rsid w:val="00066A42"/>
    <w:rsid w:val="00075200"/>
    <w:rsid w:val="00076AEA"/>
    <w:rsid w:val="00086195"/>
    <w:rsid w:val="00086E83"/>
    <w:rsid w:val="000920D0"/>
    <w:rsid w:val="000A2786"/>
    <w:rsid w:val="000A2805"/>
    <w:rsid w:val="000A313C"/>
    <w:rsid w:val="000E479E"/>
    <w:rsid w:val="00101F36"/>
    <w:rsid w:val="0011044E"/>
    <w:rsid w:val="00112BC0"/>
    <w:rsid w:val="00113014"/>
    <w:rsid w:val="001149F1"/>
    <w:rsid w:val="00117A3A"/>
    <w:rsid w:val="001221AE"/>
    <w:rsid w:val="00123658"/>
    <w:rsid w:val="00130FDD"/>
    <w:rsid w:val="001313A5"/>
    <w:rsid w:val="001409E1"/>
    <w:rsid w:val="0014449B"/>
    <w:rsid w:val="00166380"/>
    <w:rsid w:val="00166EFD"/>
    <w:rsid w:val="00167A54"/>
    <w:rsid w:val="00173C10"/>
    <w:rsid w:val="001A0780"/>
    <w:rsid w:val="001A27B1"/>
    <w:rsid w:val="001B23C7"/>
    <w:rsid w:val="001B25CB"/>
    <w:rsid w:val="001B2653"/>
    <w:rsid w:val="001B39A1"/>
    <w:rsid w:val="001B4775"/>
    <w:rsid w:val="001D2FE2"/>
    <w:rsid w:val="001D4827"/>
    <w:rsid w:val="001E1DBD"/>
    <w:rsid w:val="001E2916"/>
    <w:rsid w:val="002015B6"/>
    <w:rsid w:val="002039B1"/>
    <w:rsid w:val="00205009"/>
    <w:rsid w:val="00216D81"/>
    <w:rsid w:val="00223656"/>
    <w:rsid w:val="002248EE"/>
    <w:rsid w:val="00226EF8"/>
    <w:rsid w:val="002271AC"/>
    <w:rsid w:val="00245FF3"/>
    <w:rsid w:val="00262B3C"/>
    <w:rsid w:val="00263190"/>
    <w:rsid w:val="002743EE"/>
    <w:rsid w:val="00274CE4"/>
    <w:rsid w:val="00286132"/>
    <w:rsid w:val="00294FA5"/>
    <w:rsid w:val="002A23FE"/>
    <w:rsid w:val="002A3E85"/>
    <w:rsid w:val="002A533D"/>
    <w:rsid w:val="002B22D3"/>
    <w:rsid w:val="002B2F87"/>
    <w:rsid w:val="002B622B"/>
    <w:rsid w:val="002C0A8D"/>
    <w:rsid w:val="002C5F95"/>
    <w:rsid w:val="002C6A4D"/>
    <w:rsid w:val="002D462C"/>
    <w:rsid w:val="002D54BB"/>
    <w:rsid w:val="002E20F6"/>
    <w:rsid w:val="002E2876"/>
    <w:rsid w:val="002F2140"/>
    <w:rsid w:val="002F2A12"/>
    <w:rsid w:val="003007E5"/>
    <w:rsid w:val="003045BA"/>
    <w:rsid w:val="00304AF1"/>
    <w:rsid w:val="00305441"/>
    <w:rsid w:val="00313F75"/>
    <w:rsid w:val="00321FAA"/>
    <w:rsid w:val="00332A8F"/>
    <w:rsid w:val="00335131"/>
    <w:rsid w:val="00336D2D"/>
    <w:rsid w:val="00340F1F"/>
    <w:rsid w:val="0034123F"/>
    <w:rsid w:val="0034467C"/>
    <w:rsid w:val="00352647"/>
    <w:rsid w:val="003703F6"/>
    <w:rsid w:val="00370525"/>
    <w:rsid w:val="003779AF"/>
    <w:rsid w:val="00380A59"/>
    <w:rsid w:val="003913C4"/>
    <w:rsid w:val="003A6E2C"/>
    <w:rsid w:val="003A7B1E"/>
    <w:rsid w:val="003B1458"/>
    <w:rsid w:val="003B6A3C"/>
    <w:rsid w:val="003C5389"/>
    <w:rsid w:val="003E4935"/>
    <w:rsid w:val="003F0AE4"/>
    <w:rsid w:val="003F20BD"/>
    <w:rsid w:val="00405AD5"/>
    <w:rsid w:val="004105FB"/>
    <w:rsid w:val="00411742"/>
    <w:rsid w:val="00411953"/>
    <w:rsid w:val="004163CD"/>
    <w:rsid w:val="00422514"/>
    <w:rsid w:val="00433612"/>
    <w:rsid w:val="00434066"/>
    <w:rsid w:val="004367CA"/>
    <w:rsid w:val="00441B78"/>
    <w:rsid w:val="00444250"/>
    <w:rsid w:val="00451B5C"/>
    <w:rsid w:val="004654EB"/>
    <w:rsid w:val="00471DC4"/>
    <w:rsid w:val="00480866"/>
    <w:rsid w:val="00482ABB"/>
    <w:rsid w:val="004865A1"/>
    <w:rsid w:val="004A1C45"/>
    <w:rsid w:val="004D1A29"/>
    <w:rsid w:val="004D519D"/>
    <w:rsid w:val="004D7769"/>
    <w:rsid w:val="004E5580"/>
    <w:rsid w:val="004F20A4"/>
    <w:rsid w:val="00507FFC"/>
    <w:rsid w:val="00523427"/>
    <w:rsid w:val="00523E9A"/>
    <w:rsid w:val="00530483"/>
    <w:rsid w:val="005313F6"/>
    <w:rsid w:val="00537C8B"/>
    <w:rsid w:val="005476EC"/>
    <w:rsid w:val="00550C06"/>
    <w:rsid w:val="00550FEA"/>
    <w:rsid w:val="00552B63"/>
    <w:rsid w:val="005555A3"/>
    <w:rsid w:val="005633B4"/>
    <w:rsid w:val="005642E7"/>
    <w:rsid w:val="005648CD"/>
    <w:rsid w:val="00572F3F"/>
    <w:rsid w:val="00573F1B"/>
    <w:rsid w:val="005822F8"/>
    <w:rsid w:val="00587C63"/>
    <w:rsid w:val="00591BD5"/>
    <w:rsid w:val="005A4E42"/>
    <w:rsid w:val="005B0BEE"/>
    <w:rsid w:val="005B2BF0"/>
    <w:rsid w:val="005B48D5"/>
    <w:rsid w:val="005B596F"/>
    <w:rsid w:val="005C38A0"/>
    <w:rsid w:val="005C7562"/>
    <w:rsid w:val="005E33A7"/>
    <w:rsid w:val="005F144C"/>
    <w:rsid w:val="005F1587"/>
    <w:rsid w:val="00603F30"/>
    <w:rsid w:val="0063238B"/>
    <w:rsid w:val="00636AD7"/>
    <w:rsid w:val="006459EE"/>
    <w:rsid w:val="00661B82"/>
    <w:rsid w:val="00664408"/>
    <w:rsid w:val="00682C1E"/>
    <w:rsid w:val="00682F92"/>
    <w:rsid w:val="0068312F"/>
    <w:rsid w:val="006960E6"/>
    <w:rsid w:val="006A0FEB"/>
    <w:rsid w:val="006B418D"/>
    <w:rsid w:val="006B72DD"/>
    <w:rsid w:val="006C4EA0"/>
    <w:rsid w:val="006C5CDE"/>
    <w:rsid w:val="006C72B1"/>
    <w:rsid w:val="006D726F"/>
    <w:rsid w:val="006D79AA"/>
    <w:rsid w:val="006F77AE"/>
    <w:rsid w:val="007068D5"/>
    <w:rsid w:val="0071295D"/>
    <w:rsid w:val="00717179"/>
    <w:rsid w:val="007309B7"/>
    <w:rsid w:val="00735772"/>
    <w:rsid w:val="00735B5F"/>
    <w:rsid w:val="00740541"/>
    <w:rsid w:val="0074084B"/>
    <w:rsid w:val="00743A35"/>
    <w:rsid w:val="007456FA"/>
    <w:rsid w:val="00754315"/>
    <w:rsid w:val="00755D44"/>
    <w:rsid w:val="00760249"/>
    <w:rsid w:val="00760B6B"/>
    <w:rsid w:val="00772F86"/>
    <w:rsid w:val="00781D0B"/>
    <w:rsid w:val="0079388F"/>
    <w:rsid w:val="00797932"/>
    <w:rsid w:val="007A0BE8"/>
    <w:rsid w:val="007B548A"/>
    <w:rsid w:val="007B6C7E"/>
    <w:rsid w:val="007E0894"/>
    <w:rsid w:val="007F51EB"/>
    <w:rsid w:val="00807FA2"/>
    <w:rsid w:val="008259DA"/>
    <w:rsid w:val="00837496"/>
    <w:rsid w:val="00837737"/>
    <w:rsid w:val="00842549"/>
    <w:rsid w:val="00857F24"/>
    <w:rsid w:val="00880AB8"/>
    <w:rsid w:val="00894D7B"/>
    <w:rsid w:val="008A1544"/>
    <w:rsid w:val="008B089C"/>
    <w:rsid w:val="008B17F1"/>
    <w:rsid w:val="008B4B04"/>
    <w:rsid w:val="008B6643"/>
    <w:rsid w:val="008B761C"/>
    <w:rsid w:val="008C033A"/>
    <w:rsid w:val="008C177D"/>
    <w:rsid w:val="008C4E3D"/>
    <w:rsid w:val="008D06EE"/>
    <w:rsid w:val="008D3C2C"/>
    <w:rsid w:val="008E581F"/>
    <w:rsid w:val="009005C8"/>
    <w:rsid w:val="009030AE"/>
    <w:rsid w:val="009138FC"/>
    <w:rsid w:val="00920FA5"/>
    <w:rsid w:val="009212A7"/>
    <w:rsid w:val="00921381"/>
    <w:rsid w:val="00926AEC"/>
    <w:rsid w:val="00930C04"/>
    <w:rsid w:val="009400A5"/>
    <w:rsid w:val="0094618C"/>
    <w:rsid w:val="00946F23"/>
    <w:rsid w:val="00952082"/>
    <w:rsid w:val="009539B6"/>
    <w:rsid w:val="009554E1"/>
    <w:rsid w:val="00971935"/>
    <w:rsid w:val="00972EC5"/>
    <w:rsid w:val="0097637E"/>
    <w:rsid w:val="00980E75"/>
    <w:rsid w:val="00985D97"/>
    <w:rsid w:val="00987A87"/>
    <w:rsid w:val="009A48ED"/>
    <w:rsid w:val="009A5EC8"/>
    <w:rsid w:val="009B2A4E"/>
    <w:rsid w:val="009C03FF"/>
    <w:rsid w:val="009C4A56"/>
    <w:rsid w:val="009C7583"/>
    <w:rsid w:val="009D0C23"/>
    <w:rsid w:val="009E1479"/>
    <w:rsid w:val="009E3287"/>
    <w:rsid w:val="009E3EE0"/>
    <w:rsid w:val="009E6161"/>
    <w:rsid w:val="009E6B96"/>
    <w:rsid w:val="009E7D09"/>
    <w:rsid w:val="009E7E98"/>
    <w:rsid w:val="00A1699A"/>
    <w:rsid w:val="00A17159"/>
    <w:rsid w:val="00A245B2"/>
    <w:rsid w:val="00A3261C"/>
    <w:rsid w:val="00A42709"/>
    <w:rsid w:val="00A42F83"/>
    <w:rsid w:val="00A46110"/>
    <w:rsid w:val="00A46997"/>
    <w:rsid w:val="00A46EB1"/>
    <w:rsid w:val="00A51310"/>
    <w:rsid w:val="00A515EC"/>
    <w:rsid w:val="00A515FC"/>
    <w:rsid w:val="00A54303"/>
    <w:rsid w:val="00A543C0"/>
    <w:rsid w:val="00A552D0"/>
    <w:rsid w:val="00A60C09"/>
    <w:rsid w:val="00A64BE1"/>
    <w:rsid w:val="00A7713A"/>
    <w:rsid w:val="00A82EAB"/>
    <w:rsid w:val="00A87DD5"/>
    <w:rsid w:val="00A92333"/>
    <w:rsid w:val="00AA4ACD"/>
    <w:rsid w:val="00AA5A92"/>
    <w:rsid w:val="00AB22EA"/>
    <w:rsid w:val="00AB5AF5"/>
    <w:rsid w:val="00AD0040"/>
    <w:rsid w:val="00AD5D72"/>
    <w:rsid w:val="00AD72AF"/>
    <w:rsid w:val="00AE07AF"/>
    <w:rsid w:val="00AE6828"/>
    <w:rsid w:val="00AE7211"/>
    <w:rsid w:val="00AF0223"/>
    <w:rsid w:val="00AF0C17"/>
    <w:rsid w:val="00AF73DC"/>
    <w:rsid w:val="00B4135A"/>
    <w:rsid w:val="00B45292"/>
    <w:rsid w:val="00B51CE6"/>
    <w:rsid w:val="00B654E7"/>
    <w:rsid w:val="00B7054B"/>
    <w:rsid w:val="00B74E20"/>
    <w:rsid w:val="00B76C57"/>
    <w:rsid w:val="00B80687"/>
    <w:rsid w:val="00B81AB0"/>
    <w:rsid w:val="00B85D17"/>
    <w:rsid w:val="00B91CFE"/>
    <w:rsid w:val="00BA2283"/>
    <w:rsid w:val="00BA48EF"/>
    <w:rsid w:val="00BB62E8"/>
    <w:rsid w:val="00BC7C6B"/>
    <w:rsid w:val="00BE0EFE"/>
    <w:rsid w:val="00BE3DB1"/>
    <w:rsid w:val="00BF3FA8"/>
    <w:rsid w:val="00BF59BB"/>
    <w:rsid w:val="00C20BBE"/>
    <w:rsid w:val="00C210EA"/>
    <w:rsid w:val="00C219B1"/>
    <w:rsid w:val="00C24B1E"/>
    <w:rsid w:val="00C36930"/>
    <w:rsid w:val="00C373DF"/>
    <w:rsid w:val="00C54508"/>
    <w:rsid w:val="00C60444"/>
    <w:rsid w:val="00C622D6"/>
    <w:rsid w:val="00C64CAA"/>
    <w:rsid w:val="00C700E2"/>
    <w:rsid w:val="00C9058D"/>
    <w:rsid w:val="00C91646"/>
    <w:rsid w:val="00CA2B7C"/>
    <w:rsid w:val="00CE0AD5"/>
    <w:rsid w:val="00CE453E"/>
    <w:rsid w:val="00CF28E8"/>
    <w:rsid w:val="00D111FF"/>
    <w:rsid w:val="00D120B4"/>
    <w:rsid w:val="00D22770"/>
    <w:rsid w:val="00D4520B"/>
    <w:rsid w:val="00D56C20"/>
    <w:rsid w:val="00D60F75"/>
    <w:rsid w:val="00D635D0"/>
    <w:rsid w:val="00D63EFB"/>
    <w:rsid w:val="00D67A4F"/>
    <w:rsid w:val="00D67B9F"/>
    <w:rsid w:val="00D7256D"/>
    <w:rsid w:val="00D7512D"/>
    <w:rsid w:val="00D76116"/>
    <w:rsid w:val="00D777D9"/>
    <w:rsid w:val="00D779E9"/>
    <w:rsid w:val="00D827DF"/>
    <w:rsid w:val="00D836E0"/>
    <w:rsid w:val="00D96359"/>
    <w:rsid w:val="00DB2268"/>
    <w:rsid w:val="00DB243F"/>
    <w:rsid w:val="00DB4523"/>
    <w:rsid w:val="00DB4D3F"/>
    <w:rsid w:val="00DB537B"/>
    <w:rsid w:val="00DB5A8A"/>
    <w:rsid w:val="00DC7E65"/>
    <w:rsid w:val="00DD59FC"/>
    <w:rsid w:val="00DF210B"/>
    <w:rsid w:val="00E13F2C"/>
    <w:rsid w:val="00E168CB"/>
    <w:rsid w:val="00E17B44"/>
    <w:rsid w:val="00E22C68"/>
    <w:rsid w:val="00E23024"/>
    <w:rsid w:val="00E263BE"/>
    <w:rsid w:val="00E33536"/>
    <w:rsid w:val="00E33AF6"/>
    <w:rsid w:val="00E34BEA"/>
    <w:rsid w:val="00E3608B"/>
    <w:rsid w:val="00E373CC"/>
    <w:rsid w:val="00E37980"/>
    <w:rsid w:val="00E451A4"/>
    <w:rsid w:val="00E50837"/>
    <w:rsid w:val="00E60422"/>
    <w:rsid w:val="00E614CF"/>
    <w:rsid w:val="00E6492C"/>
    <w:rsid w:val="00E6693C"/>
    <w:rsid w:val="00E678D8"/>
    <w:rsid w:val="00E703D0"/>
    <w:rsid w:val="00E7153E"/>
    <w:rsid w:val="00E83A1A"/>
    <w:rsid w:val="00E853A1"/>
    <w:rsid w:val="00E91D3D"/>
    <w:rsid w:val="00E921FA"/>
    <w:rsid w:val="00E95A43"/>
    <w:rsid w:val="00E97659"/>
    <w:rsid w:val="00EA524F"/>
    <w:rsid w:val="00EB056B"/>
    <w:rsid w:val="00EB6259"/>
    <w:rsid w:val="00EC18FD"/>
    <w:rsid w:val="00ED2730"/>
    <w:rsid w:val="00ED5845"/>
    <w:rsid w:val="00EE5B68"/>
    <w:rsid w:val="00EF4B61"/>
    <w:rsid w:val="00F10F2B"/>
    <w:rsid w:val="00F166AF"/>
    <w:rsid w:val="00F20A43"/>
    <w:rsid w:val="00F23404"/>
    <w:rsid w:val="00F30587"/>
    <w:rsid w:val="00F37D76"/>
    <w:rsid w:val="00F45600"/>
    <w:rsid w:val="00F515E3"/>
    <w:rsid w:val="00F573B9"/>
    <w:rsid w:val="00F63BB7"/>
    <w:rsid w:val="00F678AC"/>
    <w:rsid w:val="00F77EDE"/>
    <w:rsid w:val="00FA3AF1"/>
    <w:rsid w:val="00FB35A4"/>
    <w:rsid w:val="00FB79B6"/>
    <w:rsid w:val="00FC0AFA"/>
    <w:rsid w:val="00FC2F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9CBB"/>
  <w15:chartTrackingRefBased/>
  <w15:docId w15:val="{3CBF20B2-38FE-4AEC-8DB3-9703A87B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5441"/>
    <w:pPr>
      <w:widowControl w:val="0"/>
      <w:autoSpaceDE w:val="0"/>
      <w:autoSpaceDN w:val="0"/>
      <w:spacing w:after="0" w:line="240" w:lineRule="auto"/>
    </w:pPr>
    <w:rPr>
      <w:rFonts w:ascii="Times New Roman" w:hAnsi="Times New Roman" w:eastAsia="Times New Roman" w:cs="Times New Roman"/>
      <w:kern w:val="0"/>
      <w:lang w:val="en-US"/>
    </w:rPr>
  </w:style>
  <w:style w:type="paragraph" w:styleId="Heading1">
    <w:name w:val="heading 1"/>
    <w:basedOn w:val="BodyText"/>
    <w:link w:val="Heading1Char"/>
    <w:uiPriority w:val="9"/>
    <w:qFormat/>
    <w:rsid w:val="008D06EE"/>
    <w:pPr>
      <w:numPr>
        <w:numId w:val="13"/>
      </w:numPr>
      <w:outlineLvl w:val="0"/>
    </w:pPr>
    <w:rPr>
      <w:rFonts w:cs="Arial"/>
      <w:bCs/>
      <w:szCs w:val="24"/>
    </w:rPr>
  </w:style>
  <w:style w:type="paragraph" w:styleId="Heading2">
    <w:name w:val="heading 2"/>
    <w:basedOn w:val="BodyText"/>
    <w:link w:val="Heading2Char"/>
    <w:qFormat/>
    <w:rsid w:val="008D06EE"/>
    <w:pPr>
      <w:numPr>
        <w:ilvl w:val="1"/>
        <w:numId w:val="13"/>
      </w:numPr>
      <w:tabs>
        <w:tab w:val="left" w:pos="1440"/>
      </w:tabs>
      <w:outlineLvl w:val="1"/>
    </w:pPr>
    <w:rPr>
      <w:rFonts w:cs="Arial"/>
      <w:bCs/>
      <w:iCs/>
      <w:szCs w:val="24"/>
    </w:rPr>
  </w:style>
  <w:style w:type="paragraph" w:styleId="Heading3">
    <w:name w:val="heading 3"/>
    <w:basedOn w:val="BodyText"/>
    <w:link w:val="Heading3Char"/>
    <w:qFormat/>
    <w:rsid w:val="008D06EE"/>
    <w:pPr>
      <w:numPr>
        <w:ilvl w:val="2"/>
        <w:numId w:val="13"/>
      </w:numPr>
      <w:tabs>
        <w:tab w:val="left" w:pos="2160"/>
      </w:tabs>
      <w:outlineLvl w:val="2"/>
    </w:pPr>
    <w:rPr>
      <w:rFonts w:cs="Arial"/>
      <w:bCs/>
      <w:szCs w:val="24"/>
    </w:rPr>
  </w:style>
  <w:style w:type="paragraph" w:styleId="Heading4">
    <w:name w:val="heading 4"/>
    <w:basedOn w:val="BodyText"/>
    <w:link w:val="Heading4Char"/>
    <w:qFormat/>
    <w:rsid w:val="008D06EE"/>
    <w:pPr>
      <w:numPr>
        <w:ilvl w:val="3"/>
        <w:numId w:val="13"/>
      </w:numPr>
      <w:tabs>
        <w:tab w:val="left" w:pos="2880"/>
      </w:tabs>
      <w:outlineLvl w:val="3"/>
    </w:pPr>
    <w:rPr>
      <w:bCs/>
      <w:szCs w:val="24"/>
    </w:rPr>
  </w:style>
  <w:style w:type="paragraph" w:styleId="Heading5">
    <w:name w:val="heading 5"/>
    <w:basedOn w:val="BodyText"/>
    <w:link w:val="Heading5Char"/>
    <w:qFormat/>
    <w:rsid w:val="008D06EE"/>
    <w:pPr>
      <w:numPr>
        <w:ilvl w:val="4"/>
        <w:numId w:val="13"/>
      </w:numPr>
      <w:tabs>
        <w:tab w:val="left" w:pos="3600"/>
      </w:tabs>
      <w:outlineLvl w:val="4"/>
    </w:pPr>
    <w:rPr>
      <w:bCs/>
      <w:iCs/>
      <w:szCs w:val="24"/>
    </w:rPr>
  </w:style>
  <w:style w:type="paragraph" w:styleId="Heading6">
    <w:name w:val="heading 6"/>
    <w:basedOn w:val="BodyText"/>
    <w:link w:val="Heading6Char"/>
    <w:qFormat/>
    <w:rsid w:val="008D06EE"/>
    <w:pPr>
      <w:numPr>
        <w:ilvl w:val="5"/>
        <w:numId w:val="13"/>
      </w:numPr>
      <w:tabs>
        <w:tab w:val="left" w:pos="4320"/>
      </w:tabs>
      <w:outlineLvl w:val="5"/>
    </w:pPr>
    <w:rPr>
      <w:bCs/>
      <w:szCs w:val="24"/>
    </w:rPr>
  </w:style>
  <w:style w:type="paragraph" w:styleId="Heading7">
    <w:name w:val="heading 7"/>
    <w:basedOn w:val="BodyText"/>
    <w:link w:val="Heading7Char"/>
    <w:qFormat/>
    <w:rsid w:val="008D06EE"/>
    <w:pPr>
      <w:numPr>
        <w:ilvl w:val="6"/>
        <w:numId w:val="13"/>
      </w:numPr>
      <w:tabs>
        <w:tab w:val="left" w:pos="5040"/>
      </w:tabs>
      <w:outlineLvl w:val="6"/>
    </w:pPr>
    <w:rPr>
      <w:szCs w:val="24"/>
    </w:rPr>
  </w:style>
  <w:style w:type="paragraph" w:styleId="Heading8">
    <w:name w:val="heading 8"/>
    <w:basedOn w:val="BodyText"/>
    <w:link w:val="Heading8Char"/>
    <w:qFormat/>
    <w:rsid w:val="008D06EE"/>
    <w:pPr>
      <w:numPr>
        <w:ilvl w:val="7"/>
        <w:numId w:val="13"/>
      </w:numPr>
      <w:tabs>
        <w:tab w:val="left" w:pos="5760"/>
      </w:tabs>
      <w:outlineLvl w:val="7"/>
    </w:pPr>
    <w:rPr>
      <w:iCs/>
      <w:szCs w:val="24"/>
    </w:rPr>
  </w:style>
  <w:style w:type="paragraph" w:styleId="Heading9">
    <w:name w:val="heading 9"/>
    <w:basedOn w:val="Normal"/>
    <w:next w:val="BodyText"/>
    <w:link w:val="Heading9Char"/>
    <w:qFormat/>
    <w:rsid w:val="008D06EE"/>
    <w:pPr>
      <w:keepNext/>
      <w:keepLines/>
      <w:numPr>
        <w:ilvl w:val="8"/>
        <w:numId w:val="13"/>
      </w:numPr>
      <w:spacing w:before="240"/>
      <w:jc w:val="center"/>
      <w:outlineLvl w:val="8"/>
    </w:pPr>
    <w:rPr>
      <w:rFonts w:cs="Arial"/>
      <w:b/>
      <w:cap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4D519D"/>
    <w:pPr>
      <w:spacing w:before="240"/>
      <w:jc w:val="both"/>
    </w:pPr>
  </w:style>
  <w:style w:type="character" w:styleId="BodyTextChar" w:customStyle="1">
    <w:name w:val="Body Text Char"/>
    <w:basedOn w:val="DefaultParagraphFont"/>
    <w:link w:val="BodyText"/>
    <w:uiPriority w:val="1"/>
    <w:rsid w:val="004D519D"/>
    <w:rPr>
      <w:rFonts w:ascii="Times New Roman" w:hAnsi="Times New Roman"/>
      <w:sz w:val="24"/>
    </w:rPr>
  </w:style>
  <w:style w:type="paragraph" w:styleId="BulletBody" w:customStyle="1">
    <w:name w:val="Bullet Body"/>
    <w:basedOn w:val="BodyText"/>
    <w:qFormat/>
    <w:rsid w:val="00F23404"/>
    <w:pPr>
      <w:numPr>
        <w:numId w:val="1"/>
      </w:numPr>
      <w:tabs>
        <w:tab w:val="left" w:pos="720"/>
      </w:tabs>
      <w:ind w:hanging="720"/>
    </w:pPr>
  </w:style>
  <w:style w:type="paragraph" w:styleId="BulletBodySpecial" w:customStyle="1">
    <w:name w:val="Bullet Body Special"/>
    <w:basedOn w:val="Normal"/>
    <w:qFormat/>
    <w:rsid w:val="00F23404"/>
    <w:pPr>
      <w:numPr>
        <w:numId w:val="2"/>
      </w:numPr>
      <w:tabs>
        <w:tab w:val="left" w:pos="720"/>
      </w:tabs>
      <w:spacing w:before="240"/>
      <w:ind w:hanging="720"/>
      <w:jc w:val="both"/>
    </w:pPr>
  </w:style>
  <w:style w:type="paragraph" w:styleId="Citation" w:customStyle="1">
    <w:name w:val="Citation"/>
    <w:basedOn w:val="Normal"/>
    <w:qFormat/>
    <w:rsid w:val="00AE07AF"/>
    <w:pPr>
      <w:keepLines/>
      <w:spacing w:before="120"/>
      <w:ind w:left="720" w:right="720"/>
    </w:pPr>
  </w:style>
  <w:style w:type="character" w:styleId="CommentHidden" w:customStyle="1">
    <w:name w:val="Comment (Hidden)"/>
    <w:basedOn w:val="DefaultParagraphFont"/>
    <w:rsid w:val="00AE07AF"/>
    <w:rPr>
      <w:rFonts w:ascii="Arial" w:hAnsi="Arial"/>
      <w:caps/>
      <w:smallCaps w:val="0"/>
      <w:vanish/>
      <w:color w:val="FF0000"/>
      <w:sz w:val="18"/>
      <w:lang w:val="en-CA"/>
    </w:rPr>
  </w:style>
  <w:style w:type="paragraph" w:styleId="CommentRegular" w:customStyle="1">
    <w:name w:val="Comment (Regular)"/>
    <w:basedOn w:val="Normal"/>
    <w:next w:val="BodyText"/>
    <w:qFormat/>
    <w:rsid w:val="002B622B"/>
    <w:pPr>
      <w:keepLines/>
      <w:spacing w:before="240"/>
      <w:jc w:val="both"/>
    </w:pPr>
    <w:rPr>
      <w:i/>
      <w:color w:val="0000FF"/>
      <w:sz w:val="20"/>
    </w:rPr>
  </w:style>
  <w:style w:type="paragraph" w:styleId="NoSpacing">
    <w:name w:val="No Spacing"/>
    <w:uiPriority w:val="1"/>
    <w:qFormat/>
    <w:rsid w:val="002B622B"/>
    <w:pPr>
      <w:spacing w:after="0" w:line="240" w:lineRule="auto"/>
    </w:pPr>
    <w:rPr>
      <w:rFonts w:ascii="Times New Roman" w:hAnsi="Times New Roman"/>
      <w:sz w:val="24"/>
    </w:rPr>
  </w:style>
  <w:style w:type="paragraph" w:styleId="HeadingTitle1" w:customStyle="1">
    <w:name w:val="Heading Title 1"/>
    <w:basedOn w:val="Normal"/>
    <w:next w:val="BodyText"/>
    <w:qFormat/>
    <w:rsid w:val="0071295D"/>
    <w:pPr>
      <w:keepNext/>
      <w:keepLines/>
      <w:spacing w:before="240"/>
      <w:jc w:val="center"/>
    </w:pPr>
    <w:rPr>
      <w:b/>
      <w:caps/>
      <w:sz w:val="26"/>
    </w:rPr>
  </w:style>
  <w:style w:type="paragraph" w:styleId="HeadingTitle2" w:customStyle="1">
    <w:name w:val="Heading Title 2"/>
    <w:basedOn w:val="Normal"/>
    <w:next w:val="BodyText"/>
    <w:qFormat/>
    <w:rsid w:val="0071295D"/>
    <w:pPr>
      <w:keepNext/>
      <w:keepLines/>
      <w:spacing w:before="240"/>
    </w:pPr>
    <w:rPr>
      <w:b/>
    </w:rPr>
  </w:style>
  <w:style w:type="paragraph" w:styleId="HeadingTitle3" w:customStyle="1">
    <w:name w:val="Heading Title 3"/>
    <w:basedOn w:val="Normal"/>
    <w:next w:val="BodyText"/>
    <w:qFormat/>
    <w:rsid w:val="007B6C7E"/>
    <w:pPr>
      <w:keepNext/>
      <w:keepLines/>
      <w:spacing w:before="240"/>
    </w:pPr>
    <w:rPr>
      <w:b/>
      <w:u w:val="single"/>
    </w:rPr>
  </w:style>
  <w:style w:type="paragraph" w:styleId="HeadingTitle4" w:customStyle="1">
    <w:name w:val="Heading Title 4"/>
    <w:basedOn w:val="Normal"/>
    <w:next w:val="BodyText"/>
    <w:qFormat/>
    <w:rsid w:val="005C7562"/>
    <w:pPr>
      <w:keepNext/>
      <w:keepLines/>
      <w:spacing w:before="240"/>
      <w:ind w:left="720"/>
    </w:pPr>
    <w:rPr>
      <w:b/>
    </w:rPr>
  </w:style>
  <w:style w:type="paragraph" w:styleId="Quote1" w:customStyle="1">
    <w:name w:val="Quote 1"/>
    <w:basedOn w:val="Normal"/>
    <w:qFormat/>
    <w:rsid w:val="005C7562"/>
    <w:pPr>
      <w:spacing w:before="240"/>
      <w:ind w:left="720" w:right="720"/>
      <w:jc w:val="both"/>
    </w:pPr>
  </w:style>
  <w:style w:type="paragraph" w:styleId="Quote2" w:customStyle="1">
    <w:name w:val="Quote 2"/>
    <w:basedOn w:val="Quote1"/>
    <w:qFormat/>
    <w:rsid w:val="004105FB"/>
    <w:pPr>
      <w:ind w:left="1440" w:right="1440"/>
    </w:pPr>
  </w:style>
  <w:style w:type="paragraph" w:styleId="Quote3" w:customStyle="1">
    <w:name w:val="Quote 3"/>
    <w:basedOn w:val="Quote1"/>
    <w:qFormat/>
    <w:rsid w:val="004105FB"/>
    <w:pPr>
      <w:ind w:left="2160" w:right="2160"/>
    </w:pPr>
  </w:style>
  <w:style w:type="paragraph" w:styleId="Quote4" w:customStyle="1">
    <w:name w:val="Quote 4"/>
    <w:basedOn w:val="Quote1"/>
    <w:qFormat/>
    <w:rsid w:val="004105FB"/>
    <w:pPr>
      <w:ind w:left="2880" w:right="2880"/>
    </w:pPr>
  </w:style>
  <w:style w:type="paragraph" w:styleId="Recital1" w:customStyle="1">
    <w:name w:val="Recital 1"/>
    <w:basedOn w:val="BodyText"/>
    <w:qFormat/>
    <w:rsid w:val="006C72B1"/>
    <w:pPr>
      <w:numPr>
        <w:numId w:val="3"/>
      </w:numPr>
      <w:ind w:left="0" w:firstLine="0"/>
    </w:pPr>
  </w:style>
  <w:style w:type="paragraph" w:styleId="Recital2" w:customStyle="1">
    <w:name w:val="Recital 2"/>
    <w:basedOn w:val="BodyText"/>
    <w:qFormat/>
    <w:rsid w:val="00332A8F"/>
    <w:pPr>
      <w:numPr>
        <w:ilvl w:val="1"/>
        <w:numId w:val="3"/>
      </w:numPr>
    </w:pPr>
  </w:style>
  <w:style w:type="paragraph" w:styleId="Recital3" w:customStyle="1">
    <w:name w:val="Recital 3"/>
    <w:basedOn w:val="BodyText"/>
    <w:qFormat/>
    <w:rsid w:val="00332A8F"/>
    <w:pPr>
      <w:numPr>
        <w:ilvl w:val="2"/>
        <w:numId w:val="3"/>
      </w:numPr>
    </w:pPr>
  </w:style>
  <w:style w:type="paragraph" w:styleId="Signatory" w:customStyle="1">
    <w:name w:val="Signatory"/>
    <w:basedOn w:val="Normal"/>
    <w:next w:val="Normal"/>
    <w:qFormat/>
    <w:rsid w:val="006C72B1"/>
    <w:pPr>
      <w:keepNext/>
      <w:keepLines/>
      <w:tabs>
        <w:tab w:val="right" w:pos="3960"/>
        <w:tab w:val="left" w:pos="4680"/>
        <w:tab w:val="right" w:pos="8640"/>
      </w:tabs>
      <w:spacing w:before="240"/>
    </w:pPr>
  </w:style>
  <w:style w:type="paragraph" w:styleId="Title">
    <w:name w:val="Title"/>
    <w:basedOn w:val="Normal"/>
    <w:next w:val="BodyText"/>
    <w:link w:val="TitleChar"/>
    <w:qFormat/>
    <w:rsid w:val="001B23C7"/>
    <w:pPr>
      <w:keepNext/>
      <w:keepLines/>
      <w:spacing w:before="240"/>
      <w:jc w:val="center"/>
    </w:pPr>
    <w:rPr>
      <w:rFonts w:eastAsiaTheme="majorEastAsia" w:cstheme="majorBidi"/>
      <w:b/>
      <w:caps/>
      <w:sz w:val="32"/>
      <w:szCs w:val="56"/>
    </w:rPr>
  </w:style>
  <w:style w:type="character" w:styleId="TitleChar" w:customStyle="1">
    <w:name w:val="Title Char"/>
    <w:basedOn w:val="DefaultParagraphFont"/>
    <w:link w:val="Title"/>
    <w:rsid w:val="001B23C7"/>
    <w:rPr>
      <w:rFonts w:ascii="Times New Roman" w:hAnsi="Times New Roman" w:eastAsiaTheme="majorEastAsia" w:cstheme="majorBidi"/>
      <w:b/>
      <w:caps/>
      <w:sz w:val="32"/>
      <w:szCs w:val="56"/>
    </w:rPr>
  </w:style>
  <w:style w:type="character" w:styleId="Heading1Char" w:customStyle="1">
    <w:name w:val="Heading 1 Char"/>
    <w:basedOn w:val="DefaultParagraphFont"/>
    <w:link w:val="Heading1"/>
    <w:rsid w:val="008D06EE"/>
    <w:rPr>
      <w:rFonts w:ascii="Times New Roman" w:hAnsi="Times New Roman" w:eastAsia="Times New Roman" w:cs="Arial"/>
      <w:bCs/>
      <w:sz w:val="24"/>
      <w:szCs w:val="24"/>
    </w:rPr>
  </w:style>
  <w:style w:type="character" w:styleId="Heading2Char" w:customStyle="1">
    <w:name w:val="Heading 2 Char"/>
    <w:basedOn w:val="DefaultParagraphFont"/>
    <w:link w:val="Heading2"/>
    <w:rsid w:val="008D06EE"/>
    <w:rPr>
      <w:rFonts w:ascii="Times New Roman" w:hAnsi="Times New Roman" w:eastAsia="Times New Roman" w:cs="Arial"/>
      <w:bCs/>
      <w:iCs/>
      <w:sz w:val="24"/>
      <w:szCs w:val="24"/>
    </w:rPr>
  </w:style>
  <w:style w:type="character" w:styleId="Heading3Char" w:customStyle="1">
    <w:name w:val="Heading 3 Char"/>
    <w:basedOn w:val="DefaultParagraphFont"/>
    <w:link w:val="Heading3"/>
    <w:rsid w:val="008D06EE"/>
    <w:rPr>
      <w:rFonts w:ascii="Times New Roman" w:hAnsi="Times New Roman" w:eastAsia="Times New Roman" w:cs="Arial"/>
      <w:bCs/>
      <w:sz w:val="24"/>
      <w:szCs w:val="24"/>
    </w:rPr>
  </w:style>
  <w:style w:type="character" w:styleId="Heading4Char" w:customStyle="1">
    <w:name w:val="Heading 4 Char"/>
    <w:basedOn w:val="DefaultParagraphFont"/>
    <w:link w:val="Heading4"/>
    <w:rsid w:val="008D06EE"/>
    <w:rPr>
      <w:rFonts w:ascii="Times New Roman" w:hAnsi="Times New Roman" w:eastAsia="Times New Roman" w:cs="Times New Roman"/>
      <w:bCs/>
      <w:sz w:val="24"/>
      <w:szCs w:val="24"/>
    </w:rPr>
  </w:style>
  <w:style w:type="character" w:styleId="Heading5Char" w:customStyle="1">
    <w:name w:val="Heading 5 Char"/>
    <w:basedOn w:val="DefaultParagraphFont"/>
    <w:link w:val="Heading5"/>
    <w:rsid w:val="008D06EE"/>
    <w:rPr>
      <w:rFonts w:ascii="Times New Roman" w:hAnsi="Times New Roman" w:eastAsia="Times New Roman" w:cs="Times New Roman"/>
      <w:bCs/>
      <w:iCs/>
      <w:sz w:val="24"/>
      <w:szCs w:val="24"/>
    </w:rPr>
  </w:style>
  <w:style w:type="character" w:styleId="Heading6Char" w:customStyle="1">
    <w:name w:val="Heading 6 Char"/>
    <w:basedOn w:val="DefaultParagraphFont"/>
    <w:link w:val="Heading6"/>
    <w:rsid w:val="008D06EE"/>
    <w:rPr>
      <w:rFonts w:ascii="Times New Roman" w:hAnsi="Times New Roman" w:eastAsia="Times New Roman" w:cs="Times New Roman"/>
      <w:bCs/>
      <w:sz w:val="24"/>
      <w:szCs w:val="24"/>
    </w:rPr>
  </w:style>
  <w:style w:type="character" w:styleId="Heading7Char" w:customStyle="1">
    <w:name w:val="Heading 7 Char"/>
    <w:basedOn w:val="DefaultParagraphFont"/>
    <w:link w:val="Heading7"/>
    <w:rsid w:val="008D06EE"/>
    <w:rPr>
      <w:rFonts w:ascii="Times New Roman" w:hAnsi="Times New Roman" w:eastAsia="Times New Roman" w:cs="Times New Roman"/>
      <w:sz w:val="24"/>
      <w:szCs w:val="24"/>
    </w:rPr>
  </w:style>
  <w:style w:type="character" w:styleId="Heading8Char" w:customStyle="1">
    <w:name w:val="Heading 8 Char"/>
    <w:basedOn w:val="DefaultParagraphFont"/>
    <w:link w:val="Heading8"/>
    <w:rsid w:val="008D06EE"/>
    <w:rPr>
      <w:rFonts w:ascii="Times New Roman" w:hAnsi="Times New Roman" w:eastAsia="Times New Roman" w:cs="Times New Roman"/>
      <w:iCs/>
      <w:sz w:val="24"/>
      <w:szCs w:val="24"/>
    </w:rPr>
  </w:style>
  <w:style w:type="character" w:styleId="Heading9Char" w:customStyle="1">
    <w:name w:val="Heading 9 Char"/>
    <w:basedOn w:val="DefaultParagraphFont"/>
    <w:link w:val="Heading9"/>
    <w:rsid w:val="008D06EE"/>
    <w:rPr>
      <w:rFonts w:ascii="Times New Roman" w:hAnsi="Times New Roman" w:eastAsia="Times New Roman" w:cs="Arial"/>
      <w:b/>
      <w:caps/>
      <w:sz w:val="24"/>
      <w:szCs w:val="28"/>
    </w:rPr>
  </w:style>
  <w:style w:type="paragraph" w:styleId="BodySpecial" w:customStyle="1">
    <w:name w:val="Body Special"/>
    <w:basedOn w:val="Normal"/>
    <w:next w:val="BodyText"/>
    <w:qFormat/>
    <w:rsid w:val="002B2F87"/>
    <w:pPr>
      <w:keepLines/>
      <w:spacing w:before="240"/>
    </w:pPr>
  </w:style>
  <w:style w:type="paragraph" w:styleId="ListParagraph">
    <w:name w:val="List Paragraph"/>
    <w:basedOn w:val="Normal"/>
    <w:uiPriority w:val="1"/>
    <w:qFormat/>
    <w:rsid w:val="002B2F87"/>
    <w:pPr>
      <w:ind w:left="720"/>
      <w:contextualSpacing/>
    </w:pPr>
  </w:style>
  <w:style w:type="paragraph" w:styleId="Header">
    <w:name w:val="header"/>
    <w:basedOn w:val="Normal"/>
    <w:link w:val="HeaderChar"/>
    <w:semiHidden/>
    <w:rsid w:val="00A87DD5"/>
  </w:style>
  <w:style w:type="character" w:styleId="HeaderChar" w:customStyle="1">
    <w:name w:val="Header Char"/>
    <w:basedOn w:val="DefaultParagraphFont"/>
    <w:link w:val="Header"/>
    <w:semiHidden/>
    <w:rsid w:val="00A87DD5"/>
    <w:rPr>
      <w:rFonts w:ascii="Times New Roman" w:hAnsi="Times New Roman"/>
      <w:sz w:val="24"/>
    </w:rPr>
  </w:style>
  <w:style w:type="paragraph" w:styleId="Footer">
    <w:name w:val="footer"/>
    <w:basedOn w:val="Normal"/>
    <w:link w:val="FooterChar"/>
    <w:semiHidden/>
    <w:rsid w:val="00A87DD5"/>
    <w:rPr>
      <w:sz w:val="16"/>
    </w:rPr>
  </w:style>
  <w:style w:type="character" w:styleId="FooterChar" w:customStyle="1">
    <w:name w:val="Footer Char"/>
    <w:basedOn w:val="DefaultParagraphFont"/>
    <w:link w:val="Footer"/>
    <w:semiHidden/>
    <w:rsid w:val="00A87DD5"/>
    <w:rPr>
      <w:rFonts w:ascii="Times New Roman" w:hAnsi="Times New Roman"/>
      <w:sz w:val="16"/>
    </w:rPr>
  </w:style>
  <w:style w:type="character" w:styleId="PageNumber">
    <w:name w:val="page number"/>
    <w:basedOn w:val="DefaultParagraphFont"/>
    <w:uiPriority w:val="99"/>
    <w:semiHidden/>
    <w:rsid w:val="00A87DD5"/>
    <w:rPr>
      <w:rFonts w:cs="Times New Roman"/>
    </w:rPr>
  </w:style>
  <w:style w:type="paragraph" w:styleId="Attention" w:customStyle="1">
    <w:name w:val="Attention"/>
    <w:basedOn w:val="Normal"/>
    <w:semiHidden/>
    <w:rsid w:val="00480866"/>
    <w:pPr>
      <w:spacing w:before="240"/>
      <w:ind w:left="1440" w:hanging="1440"/>
    </w:pPr>
    <w:rPr>
      <w:b/>
    </w:rPr>
  </w:style>
  <w:style w:type="paragraph" w:styleId="TOC1">
    <w:name w:val="toc 1"/>
    <w:basedOn w:val="Normal"/>
    <w:next w:val="Normal"/>
    <w:autoRedefine/>
    <w:uiPriority w:val="39"/>
    <w:semiHidden/>
    <w:rsid w:val="00480866"/>
    <w:pPr>
      <w:keepNext/>
      <w:keepLines/>
      <w:tabs>
        <w:tab w:val="left" w:pos="720"/>
        <w:tab w:val="right" w:pos="9360"/>
      </w:tabs>
      <w:spacing w:before="240" w:after="240"/>
      <w:ind w:left="720" w:right="1008" w:hanging="720"/>
    </w:pPr>
    <w:rPr>
      <w:b/>
      <w:caps/>
    </w:rPr>
  </w:style>
  <w:style w:type="paragraph" w:styleId="TOC2">
    <w:name w:val="toc 2"/>
    <w:basedOn w:val="Normal"/>
    <w:next w:val="Normal"/>
    <w:autoRedefine/>
    <w:uiPriority w:val="39"/>
    <w:semiHidden/>
    <w:rsid w:val="00480866"/>
    <w:pPr>
      <w:keepLines/>
      <w:tabs>
        <w:tab w:val="left" w:pos="720"/>
        <w:tab w:val="right" w:pos="9360"/>
      </w:tabs>
      <w:ind w:left="965" w:right="1008" w:hanging="720"/>
    </w:pPr>
  </w:style>
  <w:style w:type="paragraph" w:styleId="TOC3">
    <w:name w:val="toc 3"/>
    <w:basedOn w:val="Normal"/>
    <w:next w:val="Normal"/>
    <w:autoRedefine/>
    <w:uiPriority w:val="39"/>
    <w:semiHidden/>
    <w:rsid w:val="00480866"/>
    <w:pPr>
      <w:keepLines/>
      <w:tabs>
        <w:tab w:val="left" w:pos="1440"/>
        <w:tab w:val="right" w:pos="9360"/>
      </w:tabs>
      <w:ind w:left="1440" w:right="1008" w:hanging="720"/>
    </w:pPr>
  </w:style>
  <w:style w:type="paragraph" w:styleId="TOC4">
    <w:name w:val="toc 4"/>
    <w:basedOn w:val="Normal"/>
    <w:next w:val="Normal"/>
    <w:autoRedefine/>
    <w:uiPriority w:val="39"/>
    <w:semiHidden/>
    <w:rsid w:val="00480866"/>
    <w:pPr>
      <w:keepLines/>
      <w:tabs>
        <w:tab w:val="left" w:pos="2160"/>
        <w:tab w:val="right" w:pos="9360"/>
      </w:tabs>
      <w:ind w:left="2160" w:right="1008" w:hanging="720"/>
    </w:pPr>
  </w:style>
  <w:style w:type="paragraph" w:styleId="TOC5">
    <w:name w:val="toc 5"/>
    <w:basedOn w:val="Normal"/>
    <w:next w:val="Normal"/>
    <w:autoRedefine/>
    <w:uiPriority w:val="39"/>
    <w:semiHidden/>
    <w:rsid w:val="00480866"/>
    <w:pPr>
      <w:keepLines/>
      <w:tabs>
        <w:tab w:val="left" w:pos="2880"/>
        <w:tab w:val="right" w:pos="9360"/>
      </w:tabs>
      <w:ind w:left="2880" w:right="1008" w:hanging="720"/>
    </w:pPr>
  </w:style>
  <w:style w:type="paragraph" w:styleId="TOC6">
    <w:name w:val="toc 6"/>
    <w:basedOn w:val="Normal"/>
    <w:next w:val="Normal"/>
    <w:autoRedefine/>
    <w:uiPriority w:val="39"/>
    <w:semiHidden/>
    <w:rsid w:val="00480866"/>
    <w:pPr>
      <w:keepLines/>
      <w:tabs>
        <w:tab w:val="left" w:pos="3600"/>
        <w:tab w:val="right" w:pos="9360"/>
      </w:tabs>
      <w:ind w:left="3600" w:right="1008" w:hanging="720"/>
    </w:pPr>
  </w:style>
  <w:style w:type="paragraph" w:styleId="TOC7">
    <w:name w:val="toc 7"/>
    <w:basedOn w:val="Normal"/>
    <w:next w:val="Normal"/>
    <w:autoRedefine/>
    <w:uiPriority w:val="39"/>
    <w:semiHidden/>
    <w:rsid w:val="00480866"/>
    <w:pPr>
      <w:keepLines/>
      <w:tabs>
        <w:tab w:val="left" w:pos="4320"/>
        <w:tab w:val="right" w:pos="9360"/>
      </w:tabs>
      <w:ind w:left="4320" w:right="1008" w:hanging="720"/>
    </w:pPr>
  </w:style>
  <w:style w:type="paragraph" w:styleId="TOC8">
    <w:name w:val="toc 8"/>
    <w:basedOn w:val="Normal"/>
    <w:next w:val="Normal"/>
    <w:autoRedefine/>
    <w:uiPriority w:val="39"/>
    <w:semiHidden/>
    <w:rsid w:val="00480866"/>
    <w:pPr>
      <w:keepLines/>
      <w:tabs>
        <w:tab w:val="left" w:pos="5040"/>
        <w:tab w:val="right" w:pos="9360"/>
      </w:tabs>
      <w:ind w:left="5040" w:right="1008" w:hanging="720"/>
    </w:pPr>
  </w:style>
  <w:style w:type="paragraph" w:styleId="TOC9">
    <w:name w:val="toc 9"/>
    <w:basedOn w:val="Normal"/>
    <w:next w:val="Normal"/>
    <w:autoRedefine/>
    <w:uiPriority w:val="39"/>
    <w:semiHidden/>
    <w:rsid w:val="00480866"/>
    <w:pPr>
      <w:keepLines/>
      <w:tabs>
        <w:tab w:val="left" w:pos="5760"/>
        <w:tab w:val="right" w:pos="9360"/>
      </w:tabs>
      <w:ind w:left="5760" w:right="1008" w:hanging="720"/>
    </w:pPr>
  </w:style>
  <w:style w:type="paragraph" w:styleId="BlockText">
    <w:name w:val="Block Text"/>
    <w:basedOn w:val="Normal"/>
    <w:uiPriority w:val="99"/>
    <w:semiHidden/>
    <w:rsid w:val="00480866"/>
    <w:pPr>
      <w:spacing w:after="120"/>
      <w:ind w:left="1440" w:right="1440"/>
    </w:pPr>
    <w:rPr>
      <w:rFonts w:eastAsiaTheme="minorEastAsia"/>
      <w:iCs/>
    </w:rPr>
  </w:style>
  <w:style w:type="paragraph" w:styleId="SOCCourt" w:customStyle="1">
    <w:name w:val="SOC Court"/>
    <w:basedOn w:val="Normal"/>
    <w:next w:val="SOCBetween"/>
    <w:semiHidden/>
    <w:rsid w:val="00480866"/>
    <w:pPr>
      <w:spacing w:before="240"/>
      <w:jc w:val="center"/>
    </w:pPr>
    <w:rPr>
      <w:i/>
    </w:rPr>
  </w:style>
  <w:style w:type="paragraph" w:styleId="SOCBetween" w:customStyle="1">
    <w:name w:val="SOC Between"/>
    <w:basedOn w:val="Normal"/>
    <w:next w:val="PartiesCentred"/>
    <w:semiHidden/>
    <w:rsid w:val="00480866"/>
    <w:pPr>
      <w:keepNext/>
      <w:keepLines/>
      <w:spacing w:before="240"/>
    </w:pPr>
  </w:style>
  <w:style w:type="paragraph" w:styleId="PartiesCentred" w:customStyle="1">
    <w:name w:val="Parties Centred"/>
    <w:basedOn w:val="Normal"/>
    <w:next w:val="PartiesShortNames"/>
    <w:semiHidden/>
    <w:rsid w:val="00480866"/>
    <w:pPr>
      <w:keepNext/>
      <w:keepLines/>
      <w:spacing w:before="240"/>
      <w:ind w:left="1440" w:right="1440"/>
      <w:jc w:val="center"/>
    </w:pPr>
    <w:rPr>
      <w:b/>
    </w:rPr>
  </w:style>
  <w:style w:type="paragraph" w:styleId="SOCRegistry" w:customStyle="1">
    <w:name w:val="SOC Registry"/>
    <w:basedOn w:val="Normal"/>
    <w:next w:val="SOCCourt"/>
    <w:semiHidden/>
    <w:rsid w:val="00480866"/>
    <w:pPr>
      <w:jc w:val="right"/>
    </w:pPr>
  </w:style>
  <w:style w:type="paragraph" w:styleId="PartiesShortNames" w:customStyle="1">
    <w:name w:val="Parties Short Names"/>
    <w:basedOn w:val="Normal"/>
    <w:next w:val="SOCBetween"/>
    <w:semiHidden/>
    <w:rsid w:val="00480866"/>
    <w:pPr>
      <w:keepLines/>
      <w:spacing w:before="240"/>
      <w:jc w:val="right"/>
    </w:pPr>
  </w:style>
  <w:style w:type="table" w:styleId="TableGrid">
    <w:name w:val="Table Grid"/>
    <w:basedOn w:val="TableNormal"/>
    <w:uiPriority w:val="39"/>
    <w:rsid w:val="00480866"/>
    <w:pPr>
      <w:spacing w:after="0" w:line="240" w:lineRule="auto"/>
    </w:pPr>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9539B6"/>
    <w:pPr>
      <w:ind w:left="107"/>
    </w:pPr>
  </w:style>
  <w:style w:type="table" w:styleId="TableGrid1" w:customStyle="1">
    <w:name w:val="Table Grid1"/>
    <w:basedOn w:val="TableNormal"/>
    <w:next w:val="TableGrid"/>
    <w:uiPriority w:val="39"/>
    <w:rsid w:val="009539B6"/>
    <w:pPr>
      <w:spacing w:after="0" w:line="240" w:lineRule="auto"/>
    </w:pPr>
    <w:rPr>
      <w:rFonts w:ascii="Calibri" w:hAnsi="Calibri" w:eastAsia="Calibri" w:cs="Arial"/>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B4B04"/>
    <w:rPr>
      <w:color w:val="0563C1" w:themeColor="hyperlink"/>
      <w:u w:val="single"/>
    </w:rPr>
  </w:style>
  <w:style w:type="character" w:styleId="UnresolvedMention">
    <w:name w:val="Unresolved Mention"/>
    <w:basedOn w:val="DefaultParagraphFont"/>
    <w:uiPriority w:val="99"/>
    <w:semiHidden/>
    <w:unhideWhenUsed/>
    <w:rsid w:val="008B4B04"/>
    <w:rPr>
      <w:color w:val="605E5C"/>
      <w:shd w:val="clear" w:color="auto" w:fill="E1DFDD"/>
    </w:rPr>
  </w:style>
  <w:style w:type="character" w:styleId="CommentReference">
    <w:name w:val="annotation reference"/>
    <w:basedOn w:val="DefaultParagraphFont"/>
    <w:uiPriority w:val="99"/>
    <w:semiHidden/>
    <w:unhideWhenUsed/>
    <w:rsid w:val="009B2A4E"/>
    <w:rPr>
      <w:sz w:val="16"/>
      <w:szCs w:val="16"/>
    </w:rPr>
  </w:style>
  <w:style w:type="paragraph" w:styleId="CommentText">
    <w:name w:val="annotation text"/>
    <w:basedOn w:val="Normal"/>
    <w:link w:val="CommentTextChar"/>
    <w:uiPriority w:val="99"/>
    <w:unhideWhenUsed/>
    <w:rsid w:val="009B2A4E"/>
    <w:rPr>
      <w:sz w:val="20"/>
      <w:szCs w:val="20"/>
    </w:rPr>
  </w:style>
  <w:style w:type="character" w:styleId="CommentTextChar" w:customStyle="1">
    <w:name w:val="Comment Text Char"/>
    <w:basedOn w:val="DefaultParagraphFont"/>
    <w:link w:val="CommentText"/>
    <w:uiPriority w:val="99"/>
    <w:rsid w:val="009B2A4E"/>
    <w:rPr>
      <w:rFonts w:ascii="Times New Roman" w:hAnsi="Times New Roman" w:eastAsia="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9B2A4E"/>
    <w:rPr>
      <w:b/>
      <w:bCs/>
    </w:rPr>
  </w:style>
  <w:style w:type="character" w:styleId="CommentSubjectChar" w:customStyle="1">
    <w:name w:val="Comment Subject Char"/>
    <w:basedOn w:val="CommentTextChar"/>
    <w:link w:val="CommentSubject"/>
    <w:uiPriority w:val="99"/>
    <w:semiHidden/>
    <w:rsid w:val="009B2A4E"/>
    <w:rPr>
      <w:rFonts w:ascii="Times New Roman" w:hAnsi="Times New Roman" w:eastAsia="Times New Roman" w:cs="Times New Roman"/>
      <w:b/>
      <w:bCs/>
      <w:kern w:val="0"/>
      <w:sz w:val="20"/>
      <w:szCs w:val="20"/>
      <w:lang w:val="en-US"/>
    </w:rPr>
  </w:style>
  <w:style w:type="paragraph" w:styleId="Revision">
    <w:name w:val="Revision"/>
    <w:hidden/>
    <w:uiPriority w:val="99"/>
    <w:semiHidden/>
    <w:rsid w:val="005822F8"/>
    <w:pPr>
      <w:spacing w:after="0" w:line="240" w:lineRule="auto"/>
    </w:pPr>
    <w:rPr>
      <w:rFonts w:ascii="Times New Roman" w:hAnsi="Times New Roman" w:eastAsia="Times New Roman" w:cs="Times New Roman"/>
      <w:kern w:val="0"/>
      <w:lang w:val="en-US"/>
    </w:rPr>
  </w:style>
  <w:style w:type="character" w:styleId="FollowedHyperlink">
    <w:name w:val="FollowedHyperlink"/>
    <w:basedOn w:val="DefaultParagraphFont"/>
    <w:uiPriority w:val="99"/>
    <w:semiHidden/>
    <w:unhideWhenUsed/>
    <w:rsid w:val="00E230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17781">
      <w:bodyDiv w:val="1"/>
      <w:marLeft w:val="0"/>
      <w:marRight w:val="0"/>
      <w:marTop w:val="0"/>
      <w:marBottom w:val="0"/>
      <w:divBdr>
        <w:top w:val="none" w:sz="0" w:space="0" w:color="auto"/>
        <w:left w:val="none" w:sz="0" w:space="0" w:color="auto"/>
        <w:bottom w:val="none" w:sz="0" w:space="0" w:color="auto"/>
        <w:right w:val="none" w:sz="0" w:space="0" w:color="auto"/>
      </w:divBdr>
    </w:div>
    <w:div w:id="1248268367">
      <w:bodyDiv w:val="1"/>
      <w:marLeft w:val="0"/>
      <w:marRight w:val="0"/>
      <w:marTop w:val="0"/>
      <w:marBottom w:val="0"/>
      <w:divBdr>
        <w:top w:val="none" w:sz="0" w:space="0" w:color="auto"/>
        <w:left w:val="none" w:sz="0" w:space="0" w:color="auto"/>
        <w:bottom w:val="none" w:sz="0" w:space="0" w:color="auto"/>
        <w:right w:val="none" w:sz="0" w:space="0" w:color="auto"/>
      </w:divBdr>
    </w:div>
    <w:div w:id="1255866722">
      <w:bodyDiv w:val="1"/>
      <w:marLeft w:val="0"/>
      <w:marRight w:val="0"/>
      <w:marTop w:val="0"/>
      <w:marBottom w:val="0"/>
      <w:divBdr>
        <w:top w:val="none" w:sz="0" w:space="0" w:color="auto"/>
        <w:left w:val="none" w:sz="0" w:space="0" w:color="auto"/>
        <w:bottom w:val="none" w:sz="0" w:space="0" w:color="auto"/>
        <w:right w:val="none" w:sz="0" w:space="0" w:color="auto"/>
      </w:divBdr>
    </w:div>
    <w:div w:id="167984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www.blastresources.com" TargetMode="External" Id="rId10" /><Relationship Type="http://schemas.openxmlformats.org/officeDocument/2006/relationships/settings" Target="settings.xml" Id="rId4" /><Relationship Type="http://schemas.openxmlformats.org/officeDocument/2006/relationships/hyperlink" Target="http://www.sedarplus.com." TargetMode="External" Id="rId9" /><Relationship Type="http://schemas.openxmlformats.org/officeDocument/2006/relationships/footer" Target="footer2.xml" Id="rId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